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28</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10B8FF90">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四川峻泽智能科技有限公司峻泽金属</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防护网生产项目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四川峻泽智能科技有限公司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峻泽金属防护网生产项目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迁建</w:t>
      </w:r>
      <w:r>
        <w:rPr>
          <w:rFonts w:hint="eastAsia" w:ascii="仿宋_GB2312" w:hAnsi="Times New Roman" w:eastAsia="仿宋_GB2312" w:cs="Times New Roman"/>
          <w:color w:val="000000"/>
          <w:sz w:val="32"/>
          <w:szCs w:val="32"/>
        </w:rPr>
        <w:t>项目,拟</w:t>
      </w:r>
      <w:r>
        <w:rPr>
          <w:rFonts w:hint="eastAsia" w:ascii="仿宋_GB2312" w:eastAsia="仿宋_GB2312" w:cs="Times New Roman"/>
          <w:color w:val="000000"/>
          <w:sz w:val="32"/>
          <w:szCs w:val="32"/>
          <w:lang w:eastAsia="zh-CN"/>
        </w:rPr>
        <w:t>从</w:t>
      </w:r>
      <w:r>
        <w:rPr>
          <w:rFonts w:hint="default" w:ascii="仿宋_GB2312" w:hAnsi="仿宋_GB2312" w:eastAsia="仿宋_GB2312" w:cs="仿宋_GB2312"/>
          <w:sz w:val="32"/>
          <w:szCs w:val="32"/>
          <w:lang w:val="en-US" w:eastAsia="zh-CN"/>
        </w:rPr>
        <w:t>广汉市</w:t>
      </w:r>
      <w:r>
        <w:rPr>
          <w:rFonts w:hint="eastAsia" w:ascii="仿宋_GB2312" w:hAnsi="仿宋_GB2312" w:eastAsia="仿宋_GB2312" w:cs="仿宋_GB2312"/>
          <w:sz w:val="32"/>
          <w:szCs w:val="32"/>
          <w:lang w:val="en-US" w:eastAsia="zh-CN"/>
        </w:rPr>
        <w:t>珠海路东二段5号搬迁至德阳高新区花园四街与万胜一街交汇处西侧</w:t>
      </w:r>
      <w:r>
        <w:rPr>
          <w:rFonts w:hint="eastAsia" w:ascii="仿宋_GB2312" w:eastAsia="仿宋_GB2312" w:cs="Times New Roman"/>
          <w:color w:val="000000"/>
          <w:sz w:val="32"/>
          <w:szCs w:val="32"/>
          <w:lang w:val="en-US" w:eastAsia="zh-CN"/>
        </w:rPr>
        <w:t>国科德濠传感智造港（8-1、8-2幢）已建标准化厂房</w:t>
      </w:r>
      <w:r>
        <w:rPr>
          <w:rFonts w:hint="eastAsia" w:ascii="仿宋_GB2312" w:eastAsia="仿宋_GB2312" w:cs="Times New Roman"/>
          <w:color w:val="000000"/>
          <w:sz w:val="32"/>
          <w:szCs w:val="32"/>
          <w:lang w:eastAsia="zh-CN"/>
        </w:rPr>
        <w:t>建</w:t>
      </w:r>
      <w:r>
        <w:rPr>
          <w:rFonts w:hint="eastAsia" w:ascii="仿宋_GB2312" w:eastAsia="仿宋_GB2312" w:cs="Times New Roman"/>
          <w:color w:val="000000"/>
          <w:sz w:val="32"/>
          <w:szCs w:val="32"/>
          <w:lang w:val="en-US" w:eastAsia="zh-CN"/>
        </w:rPr>
        <w:t>设，用</w:t>
      </w:r>
      <w:r>
        <w:rPr>
          <w:rFonts w:hint="eastAsia" w:ascii="仿宋_GB2312" w:hAnsi="Times New Roman" w:eastAsia="仿宋_GB2312" w:cs="Times New Roman"/>
          <w:color w:val="000000"/>
          <w:sz w:val="32"/>
          <w:szCs w:val="32"/>
          <w:lang w:val="en-US" w:eastAsia="zh-CN"/>
        </w:rPr>
        <w:t>地面积</w:t>
      </w:r>
      <w:r>
        <w:rPr>
          <w:rFonts w:hint="eastAsia" w:ascii="仿宋_GB2312" w:eastAsia="仿宋_GB2312" w:cs="Times New Roman"/>
          <w:color w:val="000000"/>
          <w:sz w:val="32"/>
          <w:szCs w:val="32"/>
          <w:lang w:val="en-US" w:eastAsia="zh-CN"/>
        </w:rPr>
        <w:t>2719.46</w:t>
      </w:r>
      <w:r>
        <w:rPr>
          <w:rFonts w:hint="eastAsia" w:ascii="仿宋_GB2312" w:hAnsi="Times New Roman" w:eastAsia="仿宋_GB2312" w:cs="Times New Roman"/>
          <w:color w:val="000000"/>
          <w:sz w:val="32"/>
          <w:szCs w:val="32"/>
          <w:lang w:val="en-US" w:eastAsia="zh-CN"/>
        </w:rPr>
        <w:t>平方米。项目内</w:t>
      </w:r>
      <w:r>
        <w:rPr>
          <w:rFonts w:hint="eastAsia" w:ascii="仿宋_GB2312" w:hAnsi="仿宋_GB2312" w:eastAsia="仿宋_GB2312" w:cs="仿宋_GB2312"/>
          <w:kern w:val="2"/>
          <w:sz w:val="32"/>
          <w:szCs w:val="32"/>
          <w:lang w:val="en-US" w:eastAsia="zh-CN" w:bidi="ar-SA"/>
        </w:rPr>
        <w:t>容及规模为：对现有厂房进行适应性改造，依托相关公辅设施，</w:t>
      </w:r>
      <w:r>
        <w:rPr>
          <w:rFonts w:hint="eastAsia" w:ascii="仿宋_GB2312" w:hAnsi="仿宋_GB2312" w:cs="仿宋_GB2312"/>
          <w:kern w:val="2"/>
          <w:sz w:val="32"/>
          <w:szCs w:val="32"/>
          <w:lang w:val="en-US" w:eastAsia="zh-CN" w:bidi="ar-SA"/>
        </w:rPr>
        <w:t>搬迁</w:t>
      </w:r>
      <w:r>
        <w:rPr>
          <w:rFonts w:hint="eastAsia" w:ascii="仿宋_GB2312" w:hAnsi="仿宋_GB2312" w:eastAsia="仿宋_GB2312" w:cs="仿宋_GB2312"/>
          <w:kern w:val="2"/>
          <w:sz w:val="32"/>
          <w:szCs w:val="32"/>
          <w:lang w:val="en-US" w:eastAsia="zh-CN" w:bidi="ar-SA"/>
        </w:rPr>
        <w:t>利用原项目裁剪机、焊机、预热炉、浸塑槽、固化炉、卷网机，并新购置喷塑房、固化房、角磨机、激光切割机等生产设备，布设智能自动感应伸缩门、智能电子感应防护栏/网生产线，项目建成后形成年产智能自动感应伸缩门20000米、智能电子感应防护栏/网33000米的生产能力。项目总投资1000万元，其中环保投资81万元</w:t>
      </w:r>
      <w:r>
        <w:rPr>
          <w:rFonts w:hint="default" w:ascii="Times New Roman" w:hAnsi="Times New Roman" w:eastAsia="仿宋_GB2312" w:cs="Times New Roman"/>
          <w:kern w:val="2"/>
          <w:sz w:val="32"/>
          <w:szCs w:val="32"/>
          <w:lang w:val="en-US" w:eastAsia="zh-CN" w:bidi="ar-SA"/>
        </w:rPr>
        <w:t>。</w:t>
      </w:r>
    </w:p>
    <w:p w14:paraId="5200CD3C">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w:t>
      </w:r>
      <w:r>
        <w:rPr>
          <w:rFonts w:hint="eastAsia" w:cs="Times New Roman"/>
          <w:kern w:val="2"/>
          <w:sz w:val="32"/>
          <w:szCs w:val="32"/>
          <w:lang w:val="en-US" w:eastAsia="zh-CN" w:bidi="ar-SA"/>
        </w:rPr>
        <w:t>03</w:t>
      </w:r>
      <w:r>
        <w:rPr>
          <w:rFonts w:hint="eastAsia" w:ascii="Times New Roman" w:hAnsi="Times New Roman" w:eastAsia="仿宋_GB2312" w:cs="Times New Roman"/>
          <w:kern w:val="2"/>
          <w:sz w:val="32"/>
          <w:szCs w:val="32"/>
          <w:lang w:val="en-US" w:eastAsia="zh-CN" w:bidi="ar-SA"/>
        </w:rPr>
        <w:t>-5106</w:t>
      </w:r>
      <w:r>
        <w:rPr>
          <w:rFonts w:hint="eastAsia" w:cs="Times New Roman"/>
          <w:kern w:val="2"/>
          <w:sz w:val="32"/>
          <w:szCs w:val="32"/>
          <w:lang w:val="en-US" w:eastAsia="zh-CN" w:bidi="ar-SA"/>
        </w:rPr>
        <w:t>98</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-0</w:t>
      </w:r>
      <w:r>
        <w:rPr>
          <w:rFonts w:hint="eastAsia"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399187</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FGQ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0004</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广汉市</w:t>
      </w:r>
      <w:r>
        <w:rPr>
          <w:rFonts w:hint="eastAsia" w:ascii="Times New Roman" w:hAnsi="Times New Roman" w:eastAsia="仿宋_GB2312" w:cs="Times New Roman"/>
          <w:kern w:val="2"/>
          <w:sz w:val="32"/>
          <w:szCs w:val="32"/>
          <w:lang w:val="zh-CN" w:eastAsia="zh-CN" w:bidi="ar-SA"/>
        </w:rPr>
        <w:t>国土空间总体规划（2021-2035年）》</w:t>
      </w:r>
      <w:r>
        <w:rPr>
          <w:rFonts w:hint="eastAsia" w:ascii="Times New Roman" w:hAnsi="Times New Roman" w:eastAsia="仿宋_GB2312" w:cs="Times New Roman"/>
          <w:kern w:val="2"/>
          <w:sz w:val="32"/>
          <w:szCs w:val="32"/>
          <w:lang w:val="en-US" w:eastAsia="zh-CN" w:bidi="ar-SA"/>
        </w:rPr>
        <w:t>，项目用地性质为工业用地，选址符合规划。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分别落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实</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激光切割机</w:t>
      </w:r>
      <w:r>
        <w:rPr>
          <w:rFonts w:hint="eastAsia" w:ascii="仿宋_GB2312" w:hAnsi="仿宋_GB2312" w:eastAsia="仿宋_GB2312" w:cs="仿宋_GB2312"/>
          <w:bCs/>
          <w:color w:val="000000" w:themeColor="text1"/>
          <w:sz w:val="32"/>
          <w:szCs w:val="32"/>
          <w14:textFill>
            <w14:solidFill>
              <w14:schemeClr w14:val="tx1"/>
            </w14:solidFill>
          </w14:textFill>
        </w:rPr>
        <w:t>下方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自带的</w:t>
      </w:r>
      <w:r>
        <w:rPr>
          <w:rFonts w:hint="eastAsia" w:ascii="仿宋_GB2312" w:hAnsi="仿宋_GB2312" w:eastAsia="仿宋_GB2312" w:cs="仿宋_GB2312"/>
          <w:bCs/>
          <w:color w:val="000000" w:themeColor="text1"/>
          <w:sz w:val="32"/>
          <w:szCs w:val="32"/>
          <w14:textFill>
            <w14:solidFill>
              <w14:schemeClr w14:val="tx1"/>
            </w14:solidFill>
          </w14:textFill>
        </w:rPr>
        <w:t>吸风装置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以及焊接、打磨工序的集气罩，</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确保切割、焊接烟尘和打磨粉尘收集后经布袋除尘器处理后由1根15米高排气筒达标排放；落实喷塑房下端的抽风管道以及旋风+滤筒除尘装置，确保喷塑粉尘经收集处理后由1根15米高排气筒达标排放；落实喷塑固化炉开口上方的集气罩、浸塑生产线固定收集管道，确保喷塑固化有机废气，浸塑投料粉尘，浸塑固化颗粒物（油雾）、氯化氢、有机废气，天然气燃烧废气收集后经电捕焦油器+碱喷淋+二级活性炭装置处理后由1根15米高排气筒达标排放</w:t>
      </w:r>
      <w:r>
        <w:rPr>
          <w:rFonts w:hint="eastAsia"/>
          <w:lang w:val="en-US" w:eastAsia="zh-CN"/>
        </w:rPr>
        <w:t>。</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项目浸塑冷却水、水磨切割机用水循环使用不外排；项目纳管前，</w:t>
      </w:r>
      <w:r>
        <w:rPr>
          <w:rFonts w:hint="eastAsia" w:ascii="仿宋_GB2312" w:hAnsi="仿宋_GB2312" w:cs="仿宋_GB2312"/>
          <w:color w:val="000000" w:themeColor="text1"/>
          <w:sz w:val="32"/>
          <w:szCs w:val="32"/>
          <w:lang w:val="en-US" w:eastAsia="zh-CN"/>
          <w14:textFill>
            <w14:solidFill>
              <w14:schemeClr w14:val="tx1"/>
            </w14:solidFill>
          </w14:textFill>
        </w:rPr>
        <w:t>定期更换的喷淋废水作为危废定期委托有资质的单位处置；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活污水经国科德濠传感智造港内化粪池预处理达到《污水排入城镇下水道水质标准》（GB/T31962-2015）后，由污水处理厂运营单位广汉兴鑫水务有限责任公司将污水运送至广汉市第二污水处理厂处理达《四川省岷江、沱江流域水污染物排放标准》（DB51/2311-2016）工业园区集中式污水处理厂排放标准后排入青白江；项目纳管后，</w:t>
      </w:r>
      <w:r>
        <w:rPr>
          <w:rFonts w:hint="eastAsia" w:ascii="仿宋_GB2312" w:hAnsi="仿宋_GB2312" w:cs="仿宋_GB2312"/>
          <w:color w:val="000000" w:themeColor="text1"/>
          <w:sz w:val="32"/>
          <w:szCs w:val="32"/>
          <w:lang w:val="en-US" w:eastAsia="zh-CN"/>
          <w14:textFill>
            <w14:solidFill>
              <w14:schemeClr w14:val="tx1"/>
            </w14:solidFill>
          </w14:textFill>
        </w:rPr>
        <w:t>定期更换的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喷淋废水经隔油池预处理后会同生活污水经国科德濠传感智造港内化粪池预处理达到</w:t>
      </w:r>
      <w:r>
        <w:rPr>
          <w:rFonts w:hint="eastAsia" w:ascii="仿宋_GB2312" w:hAnsi="仿宋_GB2312" w:eastAsia="仿宋_GB2312" w:cs="仿宋_GB2312"/>
          <w:color w:val="000000"/>
          <w:sz w:val="32"/>
          <w:szCs w:val="32"/>
          <w:lang w:eastAsia="zh-CN"/>
        </w:rPr>
        <w:t>《污水综合排放标准》（GB8978-1996）中三级标准后排入市政污水管网，再经广汉市第二污水处理厂处理达《四川省岷江、沱江流域水污染物排放标准》（DB51/2311-2016）中工业园区集中式污水处理厂标准后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排入青白江</w:t>
      </w:r>
      <w:r>
        <w:rPr>
          <w:rFonts w:hint="eastAsia"/>
          <w:lang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废铁丝</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不合格品</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bCs/>
          <w:color w:val="000000" w:themeColor="text1"/>
          <w:sz w:val="32"/>
          <w:szCs w:val="32"/>
          <w:lang w:val="en-US" w:eastAsia="zh-CN"/>
          <w14:textFill>
            <w14:solidFill>
              <w14:schemeClr w14:val="tx1"/>
            </w14:solidFill>
          </w14:textFill>
        </w:rPr>
        <w:t>废包装材料</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、边角料、焊渣外售废品回收单位综合利用；回收的喷塑粉尘回用于生产；喷淋废水纳管前按危险废物管理；项目废活性炭、废机油、废机油桶、含油抹布及手套、废吸附棉、废油属于危险废物，须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生活垃圾由环卫部门清运</w:t>
      </w:r>
      <w:r>
        <w:rPr>
          <w:rFonts w:hint="eastAsia"/>
          <w:lang w:eastAsia="zh-CN"/>
        </w:rPr>
        <w:t>。</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危废暂存间、电捕焦油器区域、机加工涉油区域</w:t>
      </w:r>
      <w:r>
        <w:rPr>
          <w:rFonts w:hint="eastAsia" w:ascii="Times New Roman" w:hAnsi="Times New Roman" w:cs="Times New Roman"/>
          <w:lang w:eastAsia="zh-CN"/>
        </w:rPr>
        <w:t>设置为重点防渗区，</w:t>
      </w:r>
      <w:r>
        <w:rPr>
          <w:rFonts w:hint="eastAsia"/>
          <w:highlight w:val="none"/>
          <w:lang w:eastAsia="zh-CN"/>
        </w:rPr>
        <w:t>将</w:t>
      </w:r>
      <w:r>
        <w:rPr>
          <w:rFonts w:hint="eastAsia"/>
          <w:highlight w:val="none"/>
          <w:lang w:val="en-US" w:eastAsia="zh-CN"/>
        </w:rPr>
        <w:t>一般固废暂存间、PVC、环氧树脂粉等库房、生产车间一层地面等</w:t>
      </w:r>
      <w:r>
        <w:rPr>
          <w:rFonts w:hint="eastAsia"/>
          <w:lang w:val="en-US" w:eastAsia="zh-CN"/>
        </w:rPr>
        <w:t>设置为一般防渗区，将除重点防渗区、一般防渗区外其他区域设置为简单防渗区，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042299F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全厂氮氧化物排放量为0.18吨/年，挥发性有机物排放量为0.0103吨/年，化学需氧量排放量为0.0082吨/年，氨氮排放量为0.001吨/年，其总量控制指标由德阳市广汉生态环境局调剂</w:t>
      </w:r>
      <w:r>
        <w:rPr>
          <w:rFonts w:hint="eastAsia" w:ascii="Times New Roman" w:hAnsi="Times New Roman" w:cs="Times New Roman"/>
          <w:lang w:val="en-US" w:eastAsia="zh-CN"/>
        </w:rPr>
        <w:t>。</w:t>
      </w:r>
      <w:r>
        <w:rPr>
          <w:rFonts w:hint="eastAsia" w:cs="Times New Roman"/>
          <w:lang w:val="en-US" w:eastAsia="zh-CN"/>
        </w:rPr>
        <w:t xml:space="preserve">                              </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30</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5337">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C1D121">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5C1D121">
                    <w:pPr>
                      <w:pStyle w:val="4"/>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FBE4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3FE975C2"/>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7B78F93"/>
    <w:rsid w:val="589C3484"/>
    <w:rsid w:val="598E3781"/>
    <w:rsid w:val="5A282A37"/>
    <w:rsid w:val="5E06623C"/>
    <w:rsid w:val="5EFF032E"/>
    <w:rsid w:val="5F567AEE"/>
    <w:rsid w:val="5F5F187D"/>
    <w:rsid w:val="62544876"/>
    <w:rsid w:val="6356400A"/>
    <w:rsid w:val="63ED6FC7"/>
    <w:rsid w:val="6488096B"/>
    <w:rsid w:val="65AB4EFC"/>
    <w:rsid w:val="662B4514"/>
    <w:rsid w:val="66737356"/>
    <w:rsid w:val="67AB7A58"/>
    <w:rsid w:val="67D747D7"/>
    <w:rsid w:val="68522FD5"/>
    <w:rsid w:val="69AB24DF"/>
    <w:rsid w:val="6A02147A"/>
    <w:rsid w:val="6BD00737"/>
    <w:rsid w:val="6CC97B23"/>
    <w:rsid w:val="6D507C88"/>
    <w:rsid w:val="6E0F0E25"/>
    <w:rsid w:val="6EF7433B"/>
    <w:rsid w:val="6F4577DC"/>
    <w:rsid w:val="6FEF16CC"/>
    <w:rsid w:val="709B28DF"/>
    <w:rsid w:val="71D36ECE"/>
    <w:rsid w:val="72017C6B"/>
    <w:rsid w:val="721553B9"/>
    <w:rsid w:val="72F02A90"/>
    <w:rsid w:val="73261DAF"/>
    <w:rsid w:val="75FF1E50"/>
    <w:rsid w:val="765B6ABB"/>
    <w:rsid w:val="76CE8E43"/>
    <w:rsid w:val="76E64C26"/>
    <w:rsid w:val="77712936"/>
    <w:rsid w:val="77AF992B"/>
    <w:rsid w:val="77D93560"/>
    <w:rsid w:val="78901500"/>
    <w:rsid w:val="78A0421B"/>
    <w:rsid w:val="79B7E852"/>
    <w:rsid w:val="7AC85181"/>
    <w:rsid w:val="7BD55DBA"/>
    <w:rsid w:val="7C326B40"/>
    <w:rsid w:val="7C4976F5"/>
    <w:rsid w:val="7DEDD6E5"/>
    <w:rsid w:val="7E6B96DB"/>
    <w:rsid w:val="7EBB25C1"/>
    <w:rsid w:val="7FBF9BB0"/>
    <w:rsid w:val="7FC9669E"/>
    <w:rsid w:val="9AEF4967"/>
    <w:rsid w:val="AF7DF259"/>
    <w:rsid w:val="B7FE93CE"/>
    <w:rsid w:val="BBFFFECD"/>
    <w:rsid w:val="BFFB9D70"/>
    <w:rsid w:val="CF34AB87"/>
    <w:rsid w:val="DE5EB2F8"/>
    <w:rsid w:val="DF79466F"/>
    <w:rsid w:val="E17F8CE5"/>
    <w:rsid w:val="F2FF9A26"/>
    <w:rsid w:val="F7689085"/>
    <w:rsid w:val="F79F1EA5"/>
    <w:rsid w:val="F7BF0829"/>
    <w:rsid w:val="F7F70C96"/>
    <w:rsid w:val="F9CFE7F1"/>
    <w:rsid w:val="FF5F80B6"/>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3052</Words>
  <Characters>3140</Characters>
  <Lines>0</Lines>
  <Paragraphs>0</Paragraphs>
  <TotalTime>1</TotalTime>
  <ScaleCrop>false</ScaleCrop>
  <LinksUpToDate>false</LinksUpToDate>
  <CharactersWithSpaces>3208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2023-12-12T14:40:00Z</dcterms:created>
  <dc:creator>HY</dc:creator>
  <cp:lastModifiedBy>user</cp:lastModifiedBy>
  <dcterms:modified xsi:type="dcterms:W3CDTF">2026-01-30T10:32:26Z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0CD79D56E4C6006A6F83686994A1E85E_43</vt:lpwstr>
  </property>
  <property fmtid="{D5CDD505-2E9C-101B-9397-08002B2CF9AE}" pid="4" name="KSOTemplateDocerSaveRecord">
    <vt:lpwstr>eyJoZGlkIjoiYjY4MjgzNmVmYmQ5OThjNWZlOThjYzVkYjdkNWU4YWMiLCJ1c2VySWQiOiIxNjY0OTc3MjkxIn0=</vt:lpwstr>
  </property>
</Properties>
</file>