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8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42</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04F2558F">
      <w:pPr>
        <w:spacing w:line="600" w:lineRule="exact"/>
        <w:ind w:left="0" w:leftChars="0" w:firstLine="0" w:firstLineChars="0"/>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四川泰宏鑫金属制品有限责任公司</w:t>
      </w:r>
    </w:p>
    <w:p w14:paraId="67E7C721">
      <w:pPr>
        <w:spacing w:line="600" w:lineRule="exact"/>
        <w:ind w:left="0" w:leftChars="0" w:firstLine="0" w:firstLineChars="0"/>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铝制门窗及框架制造技改项目</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《环境影响报告表》的批复</w:t>
      </w:r>
    </w:p>
    <w:p w14:paraId="15EC028B">
      <w:pPr>
        <w:pStyle w:val="8"/>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30" w:lineRule="exact"/>
        <w:ind w:left="0" w:leftChars="0" w:firstLine="0" w:firstLineChars="0"/>
        <w:textAlignment w:val="auto"/>
        <w:rPr>
          <w:rFonts w:hint="eastAsia" w:ascii="仿宋_GB2312" w:hAnsi="仿宋_GB2312" w:cs="仿宋_GB2312"/>
          <w:sz w:val="32"/>
          <w:szCs w:val="32"/>
          <w:lang w:eastAsia="zh-CN"/>
        </w:rPr>
      </w:pPr>
      <w:bookmarkStart w:id="0" w:name="_GoBack"/>
      <w:r>
        <w:rPr>
          <w:rFonts w:hint="eastAsia" w:ascii="仿宋_GB2312" w:hAnsi="仿宋_GB2312" w:eastAsia="仿宋_GB2312" w:cs="仿宋_GB2312"/>
          <w:sz w:val="32"/>
          <w:szCs w:val="32"/>
          <w:lang w:val="en-US" w:eastAsia="zh-CN"/>
        </w:rPr>
        <w:t>四川泰宏鑫金属制品有限责任公司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铝制门窗及框架制造技改项目</w:t>
      </w:r>
      <w:r>
        <w:rPr>
          <w:rFonts w:hint="eastAsia" w:ascii="Times New Roman" w:hAnsi="Times New Roman" w:eastAsia="仿宋_GB2312" w:cs="Times New Roman"/>
          <w:kern w:val="2"/>
          <w:sz w:val="32"/>
          <w:szCs w:val="32"/>
          <w:lang w:val="en-US" w:eastAsia="zh-CN" w:bidi="ar-SA"/>
        </w:rPr>
        <w:t>《环境影响报告表》（以下简称“报告表”）</w:t>
      </w:r>
      <w:r>
        <w:rPr>
          <w:rFonts w:hint="eastAsia"/>
          <w:lang w:eastAsia="zh-CN"/>
        </w:rPr>
        <w:t>收悉。经研究，批复如下：</w:t>
      </w:r>
    </w:p>
    <w:p w14:paraId="2F01098E">
      <w:pPr>
        <w:pStyle w:val="8"/>
        <w:keepNext w:val="0"/>
        <w:keepLines w:val="0"/>
        <w:pageBreakBefore w:val="0"/>
        <w:numPr>
          <w:ilvl w:val="0"/>
          <w:numId w:val="1"/>
        </w:numPr>
        <w:kinsoku/>
        <w:wordWrap/>
        <w:overflowPunct/>
        <w:topLinePunct w:val="0"/>
        <w:autoSpaceDE/>
        <w:autoSpaceDN/>
        <w:bidi w:val="0"/>
        <w:adjustRightInd/>
        <w:snapToGrid/>
        <w:spacing w:line="53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项目为技术改造项目，拟在广汉市三星堆镇仁圣村9组已建闲置厂房进行建设，用地面积4500平方米。项目内容及规模为：依托生产车间及相关公辅设施，购置水洗水池、烘干房、喷粉线、固化房、热转印炉、压花机等生产设备，新增一条喷塑及</w:t>
      </w:r>
      <w:r>
        <w:rPr>
          <w:rFonts w:hint="eastAsia" w:cs="Times New Roman"/>
          <w:kern w:val="2"/>
          <w:sz w:val="32"/>
          <w:szCs w:val="32"/>
          <w:lang w:val="en-US" w:eastAsia="zh-CN" w:bidi="ar-SA"/>
        </w:rPr>
        <w:t>一条</w:t>
      </w:r>
      <w:r>
        <w:rPr>
          <w:rFonts w:hint="eastAsia" w:ascii="Times New Roman" w:hAnsi="Times New Roman" w:eastAsia="仿宋_GB2312" w:cs="Times New Roman"/>
          <w:kern w:val="2"/>
          <w:sz w:val="32"/>
          <w:szCs w:val="32"/>
          <w:lang w:val="en-US" w:eastAsia="zh-CN" w:bidi="ar-SA"/>
        </w:rPr>
        <w:t>木纹转印生产线，对原项目铝制门窗及框架进行表面处理，本项目建成后现有项目年产铝制门窗及框架1500吨的产能不改变</w:t>
      </w:r>
      <w:r>
        <w:rPr>
          <w:rFonts w:hint="eastAsia" w:cs="Times New Roman"/>
          <w:kern w:val="2"/>
          <w:sz w:val="32"/>
          <w:szCs w:val="32"/>
          <w:lang w:val="en-US" w:eastAsia="zh-CN" w:bidi="ar-SA"/>
        </w:rPr>
        <w:t>，其中</w:t>
      </w:r>
      <w:r>
        <w:rPr>
          <w:rFonts w:hint="eastAsia" w:ascii="Times New Roman" w:hAnsi="Times New Roman" w:eastAsia="仿宋_GB2312" w:cs="Times New Roman"/>
          <w:kern w:val="2"/>
          <w:sz w:val="32"/>
          <w:szCs w:val="32"/>
          <w:lang w:val="en-US" w:eastAsia="zh-CN" w:bidi="ar-SA"/>
        </w:rPr>
        <w:t>50t</w:t>
      </w:r>
      <w:r>
        <w:rPr>
          <w:rFonts w:hint="eastAsia" w:cs="Times New Roman"/>
          <w:kern w:val="2"/>
          <w:sz w:val="32"/>
          <w:szCs w:val="32"/>
          <w:lang w:val="en-US" w:eastAsia="zh-CN" w:bidi="ar-SA"/>
        </w:rPr>
        <w:t>进行</w:t>
      </w:r>
      <w:r>
        <w:rPr>
          <w:rFonts w:hint="eastAsia" w:ascii="Times New Roman" w:hAnsi="Times New Roman" w:eastAsia="仿宋_GB2312" w:cs="Times New Roman"/>
          <w:kern w:val="2"/>
          <w:sz w:val="32"/>
          <w:szCs w:val="32"/>
          <w:lang w:val="en-US" w:eastAsia="zh-CN" w:bidi="ar-SA"/>
        </w:rPr>
        <w:t>木纹转印处理、1450t</w:t>
      </w:r>
      <w:r>
        <w:rPr>
          <w:rFonts w:hint="eastAsia" w:cs="Times New Roman"/>
          <w:kern w:val="2"/>
          <w:sz w:val="32"/>
          <w:szCs w:val="32"/>
          <w:lang w:val="en-US" w:eastAsia="zh-CN" w:bidi="ar-SA"/>
        </w:rPr>
        <w:t>进行</w:t>
      </w:r>
      <w:r>
        <w:rPr>
          <w:rFonts w:hint="eastAsia" w:ascii="Times New Roman" w:hAnsi="Times New Roman" w:eastAsia="仿宋_GB2312" w:cs="Times New Roman"/>
          <w:kern w:val="2"/>
          <w:sz w:val="32"/>
          <w:szCs w:val="32"/>
          <w:lang w:val="en-US" w:eastAsia="zh-CN" w:bidi="ar-SA"/>
        </w:rPr>
        <w:t>喷塑处理。项目总投资550万元，其中环保投资44.5万元。</w:t>
      </w:r>
    </w:p>
    <w:p w14:paraId="033BB77A">
      <w:pPr>
        <w:pStyle w:val="8"/>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项目在四川省投资项目在线审批监管平台进行了备案（备案号：川投资备[251</w:t>
      </w:r>
      <w:r>
        <w:rPr>
          <w:rFonts w:hint="eastAsia"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-510681-07-02-</w:t>
      </w:r>
      <w:r>
        <w:rPr>
          <w:rFonts w:hint="eastAsia" w:cs="Times New Roman"/>
          <w:kern w:val="2"/>
          <w:sz w:val="32"/>
          <w:szCs w:val="32"/>
          <w:lang w:val="en-US" w:eastAsia="zh-CN" w:bidi="ar-SA"/>
        </w:rPr>
        <w:t>589344</w:t>
      </w:r>
      <w:r>
        <w:rPr>
          <w:rFonts w:hint="eastAsia" w:ascii="Times New Roman" w:hAnsi="Times New Roman" w:eastAsia="仿宋_GB2312" w:cs="Times New Roman"/>
          <w:kern w:val="2"/>
          <w:sz w:val="32"/>
          <w:szCs w:val="32"/>
          <w:lang w:val="en-US" w:eastAsia="zh-CN" w:bidi="ar-SA"/>
        </w:rPr>
        <w:t>]JX</w:t>
      </w:r>
      <w:r>
        <w:rPr>
          <w:rFonts w:hint="eastAsia" w:cs="Times New Roman"/>
          <w:kern w:val="2"/>
          <w:sz w:val="32"/>
          <w:szCs w:val="32"/>
          <w:lang w:val="en-US" w:eastAsia="zh-CN" w:bidi="ar-SA"/>
        </w:rPr>
        <w:t>Q</w:t>
      </w:r>
      <w:r>
        <w:rPr>
          <w:rFonts w:hint="eastAsia" w:ascii="Times New Roman" w:hAnsi="Times New Roman" w:eastAsia="仿宋_GB2312" w:cs="Times New Roman"/>
          <w:kern w:val="2"/>
          <w:sz w:val="32"/>
          <w:szCs w:val="32"/>
          <w:lang w:val="en-US" w:eastAsia="zh-CN" w:bidi="ar-SA"/>
        </w:rPr>
        <w:t>B-</w:t>
      </w:r>
      <w:r>
        <w:rPr>
          <w:rFonts w:hint="eastAsia" w:cs="Times New Roman"/>
          <w:kern w:val="2"/>
          <w:sz w:val="32"/>
          <w:szCs w:val="32"/>
          <w:lang w:val="en-US" w:eastAsia="zh-CN" w:bidi="ar-SA"/>
        </w:rPr>
        <w:t>1452</w:t>
      </w:r>
      <w:r>
        <w:rPr>
          <w:rFonts w:hint="eastAsia" w:ascii="Times New Roman" w:hAnsi="Times New Roman" w:eastAsia="仿宋_GB2312" w:cs="Times New Roman"/>
          <w:kern w:val="2"/>
          <w:sz w:val="32"/>
          <w:szCs w:val="32"/>
          <w:lang w:val="en-US" w:eastAsia="zh-CN" w:bidi="ar-SA"/>
        </w:rPr>
        <w:t>号），符合国家现行产业政策</w:t>
      </w:r>
      <w:r>
        <w:rPr>
          <w:rFonts w:hint="eastAsia" w:ascii="Times New Roman" w:hAnsi="Times New Roman" w:eastAsia="仿宋_GB2312" w:cs="Times New Roman"/>
          <w:kern w:val="2"/>
          <w:sz w:val="32"/>
          <w:szCs w:val="32"/>
          <w:lang w:val="zh-CN" w:eastAsia="zh-CN" w:bidi="ar-SA"/>
        </w:rPr>
        <w:t>；该项目符合德阳市生态环境分区管控相关要求，</w:t>
      </w:r>
      <w:r>
        <w:rPr>
          <w:rFonts w:hint="eastAsia" w:cs="Times New Roman"/>
          <w:kern w:val="2"/>
          <w:sz w:val="32"/>
          <w:szCs w:val="32"/>
          <w:lang w:val="zh-CN" w:eastAsia="zh-CN" w:bidi="ar-SA"/>
        </w:rPr>
        <w:t>根据项目法定代表人取得的《</w:t>
      </w:r>
      <w:r>
        <w:rPr>
          <w:rFonts w:hint="eastAsia" w:ascii="Times New Roman" w:hAnsi="Times New Roman" w:eastAsia="仿宋_GB2312" w:cs="Times New Roman"/>
          <w:kern w:val="2"/>
          <w:sz w:val="32"/>
          <w:szCs w:val="32"/>
          <w:lang w:val="zh-CN" w:eastAsia="zh-CN" w:bidi="ar-SA"/>
        </w:rPr>
        <w:t>土地使用证</w:t>
      </w:r>
      <w:r>
        <w:rPr>
          <w:rFonts w:hint="eastAsia" w:cs="Times New Roman"/>
          <w:kern w:val="2"/>
          <w:sz w:val="32"/>
          <w:szCs w:val="32"/>
          <w:lang w:val="zh-CN" w:eastAsia="zh-CN" w:bidi="ar-SA"/>
        </w:rPr>
        <w:t>》，该地块</w:t>
      </w:r>
      <w:r>
        <w:rPr>
          <w:rFonts w:hint="eastAsia" w:ascii="Times New Roman" w:hAnsi="Times New Roman" w:eastAsia="仿宋_GB2312" w:cs="Times New Roman"/>
          <w:kern w:val="2"/>
          <w:sz w:val="32"/>
          <w:szCs w:val="32"/>
          <w:lang w:val="zh-CN" w:eastAsia="zh-CN" w:bidi="ar-SA"/>
        </w:rPr>
        <w:t>为工业用地</w:t>
      </w:r>
      <w:r>
        <w:rPr>
          <w:rFonts w:hint="eastAsia" w:cs="Times New Roman"/>
          <w:kern w:val="2"/>
          <w:sz w:val="32"/>
          <w:szCs w:val="32"/>
          <w:lang w:val="zh-CN" w:eastAsia="zh-CN" w:bidi="ar-SA"/>
        </w:rPr>
        <w:t>，</w:t>
      </w:r>
      <w:r>
        <w:rPr>
          <w:rFonts w:hint="eastAsia" w:ascii="Times New Roman" w:hAnsi="Times New Roman" w:eastAsia="仿宋_GB2312" w:cs="Times New Roman"/>
          <w:kern w:val="2"/>
          <w:sz w:val="32"/>
          <w:szCs w:val="32"/>
          <w:lang w:val="zh-CN" w:eastAsia="zh-CN" w:bidi="ar-SA"/>
        </w:rPr>
        <w:t>根据广汉市自然资源和规划局出具的《关于四川泰宏鑫金属制品有限责任公司粉末喷涂生产项目用地规划情况说明的复函》（广自然资函</w:t>
      </w:r>
      <w:r>
        <w:rPr>
          <w:rFonts w:hint="eastAsia" w:ascii="仿宋_GB2312" w:hAnsi="仿宋_GB2312" w:eastAsia="仿宋_GB2312" w:cs="仿宋_GB2312"/>
          <w:kern w:val="2"/>
          <w:sz w:val="32"/>
          <w:szCs w:val="32"/>
          <w:lang w:val="zh-CN" w:eastAsia="zh-CN" w:bidi="ar-SA"/>
        </w:rPr>
        <w:t>〔</w:t>
      </w:r>
      <w:r>
        <w:rPr>
          <w:rFonts w:hint="eastAsia" w:ascii="Times New Roman" w:hAnsi="Times New Roman" w:eastAsia="仿宋_GB2312" w:cs="Times New Roman"/>
          <w:kern w:val="2"/>
          <w:sz w:val="32"/>
          <w:szCs w:val="32"/>
          <w:lang w:val="zh-CN" w:eastAsia="zh-CN" w:bidi="ar-SA"/>
        </w:rPr>
        <w:t>2025</w:t>
      </w:r>
      <w:r>
        <w:rPr>
          <w:rFonts w:hint="eastAsia" w:ascii="仿宋_GB2312" w:hAnsi="仿宋_GB2312" w:eastAsia="仿宋_GB2312" w:cs="仿宋_GB2312"/>
          <w:kern w:val="2"/>
          <w:sz w:val="32"/>
          <w:szCs w:val="32"/>
          <w:lang w:val="zh-CN" w:eastAsia="zh-CN" w:bidi="ar-SA"/>
        </w:rPr>
        <w:t>〕</w:t>
      </w:r>
      <w:r>
        <w:rPr>
          <w:rFonts w:hint="eastAsia" w:ascii="Times New Roman" w:hAnsi="Times New Roman" w:eastAsia="仿宋_GB2312" w:cs="Times New Roman"/>
          <w:kern w:val="2"/>
          <w:sz w:val="32"/>
          <w:szCs w:val="32"/>
          <w:lang w:val="zh-CN" w:eastAsia="zh-CN" w:bidi="ar-SA"/>
        </w:rPr>
        <w:t>35</w:t>
      </w:r>
      <w:r>
        <w:rPr>
          <w:rFonts w:hint="eastAsia" w:cs="Times New Roman"/>
          <w:kern w:val="2"/>
          <w:sz w:val="32"/>
          <w:szCs w:val="32"/>
          <w:lang w:val="en-US" w:eastAsia="zh-CN" w:bidi="ar-SA"/>
        </w:rPr>
        <w:t>2号</w:t>
      </w:r>
      <w:r>
        <w:rPr>
          <w:rFonts w:hint="eastAsia" w:ascii="Times New Roman" w:hAnsi="Times New Roman" w:eastAsia="仿宋_GB2312" w:cs="Times New Roman"/>
          <w:kern w:val="2"/>
          <w:sz w:val="32"/>
          <w:szCs w:val="32"/>
          <w:lang w:val="zh-CN" w:eastAsia="zh-CN" w:bidi="ar-SA"/>
        </w:rPr>
        <w:t>）可知，项目近期可按现状土地用途进行管理</w:t>
      </w:r>
      <w:r>
        <w:rPr>
          <w:rFonts w:hint="eastAsia" w:cs="Times New Roman"/>
          <w:kern w:val="2"/>
          <w:sz w:val="32"/>
          <w:szCs w:val="32"/>
          <w:lang w:val="zh-CN" w:eastAsia="zh-CN" w:bidi="ar-SA"/>
        </w:rPr>
        <w:t>，选址可行。</w:t>
      </w:r>
    </w:p>
    <w:p w14:paraId="682DCC11">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suppressLineNumbers w:val="0"/>
        <w:kinsoku/>
        <w:wordWrap/>
        <w:overflowPunct/>
        <w:topLinePunct w:val="0"/>
        <w:autoSpaceDE/>
        <w:autoSpaceDN/>
        <w:bidi w:val="0"/>
        <w:adjustRightInd/>
        <w:snapToGrid/>
        <w:spacing w:line="53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）严格落实并优化报告表提出的各项废气处理措施。设置半密闭的静电自动喷塑柜，落实负压集气+滤芯收尘器+旋风收尘器装置，确保收集的粉尘回用于生产；落实喷塑柜轨道进出口及</w:t>
      </w:r>
      <w:r>
        <w:rPr>
          <w:rFonts w:hint="eastAsia"/>
          <w:lang w:val="en-US" w:eastAsia="zh-CN"/>
        </w:rPr>
        <w:t>固化房内</w:t>
      </w:r>
      <w:r>
        <w:rPr>
          <w:rFonts w:hint="eastAsia"/>
          <w:lang w:eastAsia="zh-CN"/>
        </w:rPr>
        <w:t>人工喷塑工位的集气罩+布袋除尘器装置，确保未收集到的喷塑柜粉尘及人工喷塑粉尘经收集处理后由1根15米高排气筒达标排放；落实固化烘道进出口上方及固化房门口上方的集气罩+两级活性炭吸附装置，确保固化有机废气经收集处理后由1根15米高排气筒达标排放；确保食堂油烟经油烟净化器处理后引至楼顶排放，不影响周边环境。</w:t>
      </w:r>
    </w:p>
    <w:p w14:paraId="4EC1BD23">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本项目铝件水洗废水循环使用，每季度排放一次，食堂废水、员工洗手废水分别经油水分离器处理后与生活污水一起依托已建的二级生化处理设施处理达《污水综合排放标准》（GB8978-1996）三级标准后，与经隔油池处理后的定期排放的铝件水洗废水一同排入市政污水管网，最终进入广汉市第二十四（南兴）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3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lang w:val="en-US" w:eastAsia="zh-CN"/>
        </w:rPr>
        <w:t>废纸、废塑料袋、废包材、废挂钩外售给废品回收站；收尘器收集的粉尘、地面清扫粉尘回用于生产；污水处理设施污泥交由有处理能力的单位清掏处置；食堂餐厨垃圾及食堂油水分离器废油脂交由有处置能力的单位清运处理；废滤芯由厂家回收处理；废机油、废机油桶、水洗工艺废渣、废活性炭、含油废抹布、手套、油水分离器及隔油池废油</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生活垃圾交环卫部门清运</w:t>
      </w:r>
      <w:r>
        <w:rPr>
          <w:rFonts w:hint="eastAsia"/>
          <w:lang w:eastAsia="zh-CN"/>
        </w:rPr>
        <w:t>。</w:t>
      </w:r>
    </w:p>
    <w:p w14:paraId="38747D68">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项目将危废暂存间、</w:t>
      </w:r>
      <w:r>
        <w:rPr>
          <w:rFonts w:hint="eastAsia" w:ascii="Times New Roman" w:hAnsi="Times New Roman" w:cs="Times New Roman"/>
          <w:lang w:val="en-US" w:eastAsia="zh-CN"/>
        </w:rPr>
        <w:t>水洗区域</w:t>
      </w:r>
      <w:r>
        <w:rPr>
          <w:rFonts w:hint="eastAsia" w:ascii="Times New Roman" w:hAnsi="Times New Roman" w:cs="Times New Roman"/>
          <w:lang w:eastAsia="zh-CN"/>
        </w:rPr>
        <w:t>、应急事故池、</w:t>
      </w:r>
      <w:r>
        <w:rPr>
          <w:rFonts w:hint="eastAsia" w:ascii="Times New Roman" w:hAnsi="Times New Roman" w:cs="Times New Roman"/>
          <w:lang w:val="en-US" w:eastAsia="zh-CN"/>
        </w:rPr>
        <w:t>隔油池</w:t>
      </w:r>
      <w:r>
        <w:rPr>
          <w:rFonts w:hint="eastAsia" w:ascii="Times New Roman" w:hAnsi="Times New Roman" w:cs="Times New Roman"/>
          <w:lang w:eastAsia="zh-CN"/>
        </w:rPr>
        <w:t>设置为重点防渗区，</w:t>
      </w:r>
      <w:r>
        <w:rPr>
          <w:rFonts w:hint="eastAsia"/>
          <w:highlight w:val="none"/>
          <w:lang w:eastAsia="zh-CN"/>
        </w:rPr>
        <w:t>将生产车间其他区域</w:t>
      </w:r>
      <w:r>
        <w:rPr>
          <w:rFonts w:hint="eastAsia"/>
          <w:lang w:val="en-US" w:eastAsia="zh-CN"/>
        </w:rPr>
        <w:t>设置为一般防渗区，将办公区、其余部分设置为简单防渗区，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84E435">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eastAsia="仿宋_GB2312" w:cs="Times New Roman"/>
          <w:kern w:val="2"/>
          <w:sz w:val="32"/>
          <w:szCs w:val="24"/>
          <w:lang w:val="en-US" w:eastAsia="zh-CN" w:bidi="ar-SA"/>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cs="Times New Roman"/>
          <w:lang w:val="en-US" w:eastAsia="zh-CN"/>
        </w:rPr>
      </w:pPr>
      <w:r>
        <w:rPr>
          <w:rFonts w:hint="eastAsia"/>
          <w:lang w:eastAsia="zh-CN"/>
        </w:rPr>
        <w:t>三、该项目运营</w:t>
      </w:r>
      <w:r>
        <w:rPr>
          <w:rFonts w:hint="eastAsia"/>
          <w:lang w:val="en-US" w:eastAsia="zh-CN"/>
        </w:rPr>
        <w:t>后</w:t>
      </w:r>
      <w:r>
        <w:rPr>
          <w:rFonts w:hint="eastAsia"/>
          <w:lang w:eastAsia="zh-CN"/>
        </w:rPr>
        <w:t>，</w:t>
      </w:r>
      <w:r>
        <w:rPr>
          <w:rFonts w:hint="eastAsia"/>
          <w:lang w:val="en-US" w:eastAsia="zh-CN"/>
        </w:rPr>
        <w:t>全厂氮氧化物排放量为0.28吨/年，挥发性有机物排放量为0.0133吨/年，化学需氧量排放量为0.0248吨/年，氨氮排放量为0.00219吨/年，其总量指标由德阳市广汉生态环境局调剂</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bookmarkEnd w:id="0"/>
    </w:p>
    <w:p w14:paraId="1CDF7A1C">
      <w:pPr>
        <w:bidi w:val="0"/>
        <w:rPr>
          <w:rFonts w:hint="eastAsia"/>
          <w:lang w:eastAsia="zh-CN"/>
        </w:rPr>
      </w:pPr>
      <w:r>
        <w:rPr>
          <w:rFonts w:hint="eastAsia"/>
          <w:lang w:eastAsia="zh-CN"/>
        </w:rPr>
        <w:t xml:space="preserve">                </w:t>
      </w:r>
    </w:p>
    <w:p w14:paraId="3B064C48">
      <w:pPr>
        <w:bidi w:val="0"/>
        <w:rPr>
          <w:rFonts w:hint="eastAsia"/>
          <w:lang w:eastAsia="zh-CN"/>
        </w:rPr>
      </w:pP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eastAsia"/>
          <w:lang w:val="en-US" w:eastAsia="zh-CN"/>
        </w:rPr>
        <w:t>2</w:t>
      </w:r>
      <w:r>
        <w:rPr>
          <w:rFonts w:hint="eastAsia"/>
          <w:lang w:eastAsia="zh-CN"/>
        </w:rPr>
        <w:t>月</w:t>
      </w:r>
      <w:r>
        <w:rPr>
          <w:rFonts w:hint="eastAsia"/>
          <w:lang w:val="en-US" w:eastAsia="zh-CN"/>
        </w:rPr>
        <w:t>1</w:t>
      </w:r>
      <w:r>
        <w:rPr>
          <w:rFonts w:hint="default"/>
          <w:lang w:val="en-US" w:eastAsia="zh-CN"/>
        </w:rPr>
        <w:t>2</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68A3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0908C">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40908C">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53DF">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2651EB"/>
    <w:rsid w:val="2B4222FA"/>
    <w:rsid w:val="2B444859"/>
    <w:rsid w:val="2C6B7FAD"/>
    <w:rsid w:val="2DF03A62"/>
    <w:rsid w:val="2E624E98"/>
    <w:rsid w:val="2FFF6860"/>
    <w:rsid w:val="30F523E0"/>
    <w:rsid w:val="31231C2B"/>
    <w:rsid w:val="323C08F4"/>
    <w:rsid w:val="33D84F21"/>
    <w:rsid w:val="342F5CDB"/>
    <w:rsid w:val="3511441F"/>
    <w:rsid w:val="353D16A3"/>
    <w:rsid w:val="35C30878"/>
    <w:rsid w:val="36BF255B"/>
    <w:rsid w:val="37DB3615"/>
    <w:rsid w:val="3847678F"/>
    <w:rsid w:val="398E50E4"/>
    <w:rsid w:val="3A6E4FAF"/>
    <w:rsid w:val="3B8A62BD"/>
    <w:rsid w:val="3C2A03C4"/>
    <w:rsid w:val="3C7E27A6"/>
    <w:rsid w:val="3CEB2C36"/>
    <w:rsid w:val="3DA314CE"/>
    <w:rsid w:val="3DBFCC61"/>
    <w:rsid w:val="3DD23BF8"/>
    <w:rsid w:val="400438B7"/>
    <w:rsid w:val="41A609A7"/>
    <w:rsid w:val="41B502FB"/>
    <w:rsid w:val="432F1B9E"/>
    <w:rsid w:val="449D70C1"/>
    <w:rsid w:val="452C1BB7"/>
    <w:rsid w:val="471A4C57"/>
    <w:rsid w:val="48A410DE"/>
    <w:rsid w:val="490D1D9A"/>
    <w:rsid w:val="493B5434"/>
    <w:rsid w:val="4AB250DD"/>
    <w:rsid w:val="4C3F558F"/>
    <w:rsid w:val="4C8A6F6D"/>
    <w:rsid w:val="4E074F7B"/>
    <w:rsid w:val="4E20458D"/>
    <w:rsid w:val="4E573B0F"/>
    <w:rsid w:val="4F74489F"/>
    <w:rsid w:val="52EB1116"/>
    <w:rsid w:val="545838A3"/>
    <w:rsid w:val="550F5283"/>
    <w:rsid w:val="55922BB8"/>
    <w:rsid w:val="55A83CB4"/>
    <w:rsid w:val="5648005A"/>
    <w:rsid w:val="56EF32D7"/>
    <w:rsid w:val="587F1642"/>
    <w:rsid w:val="589C3484"/>
    <w:rsid w:val="598E3781"/>
    <w:rsid w:val="5A282A37"/>
    <w:rsid w:val="5E06623C"/>
    <w:rsid w:val="5EFF032E"/>
    <w:rsid w:val="5F567AEE"/>
    <w:rsid w:val="62544876"/>
    <w:rsid w:val="6356400A"/>
    <w:rsid w:val="63ED6FC7"/>
    <w:rsid w:val="6488096B"/>
    <w:rsid w:val="65AB4EFC"/>
    <w:rsid w:val="662B4514"/>
    <w:rsid w:val="66737356"/>
    <w:rsid w:val="67AB7A58"/>
    <w:rsid w:val="67D747D7"/>
    <w:rsid w:val="68522FD5"/>
    <w:rsid w:val="69AB24DF"/>
    <w:rsid w:val="6A02147A"/>
    <w:rsid w:val="6BD00737"/>
    <w:rsid w:val="6CC97B23"/>
    <w:rsid w:val="6D507C88"/>
    <w:rsid w:val="6E0F0E25"/>
    <w:rsid w:val="6F4577DC"/>
    <w:rsid w:val="709B28DF"/>
    <w:rsid w:val="71D36ECE"/>
    <w:rsid w:val="72017C6B"/>
    <w:rsid w:val="721553B9"/>
    <w:rsid w:val="72F02A90"/>
    <w:rsid w:val="73261DAF"/>
    <w:rsid w:val="73FF814B"/>
    <w:rsid w:val="765B6ABB"/>
    <w:rsid w:val="76CE8E43"/>
    <w:rsid w:val="76E64C26"/>
    <w:rsid w:val="77712936"/>
    <w:rsid w:val="77D93560"/>
    <w:rsid w:val="78901500"/>
    <w:rsid w:val="78A0421B"/>
    <w:rsid w:val="7AC85181"/>
    <w:rsid w:val="7BD55DBA"/>
    <w:rsid w:val="7C326B40"/>
    <w:rsid w:val="7C4976F5"/>
    <w:rsid w:val="7DEDD6E5"/>
    <w:rsid w:val="7EBB25C1"/>
    <w:rsid w:val="7FC9669E"/>
    <w:rsid w:val="ADFFF933"/>
    <w:rsid w:val="B7FE93CE"/>
    <w:rsid w:val="CF34AB87"/>
    <w:rsid w:val="DFDBEE8E"/>
    <w:rsid w:val="E17F8CE5"/>
    <w:rsid w:val="E7F22975"/>
    <w:rsid w:val="F73F9E65"/>
    <w:rsid w:val="FD39556B"/>
    <w:rsid w:val="FF5F80B6"/>
    <w:rsid w:val="FFF7A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正文"/>
    <w:basedOn w:val="1"/>
    <w:qFormat/>
    <w:uiPriority w:val="0"/>
    <w:pPr>
      <w:spacing w:line="360" w:lineRule="auto"/>
      <w:ind w:firstLine="200" w:firstLineChars="200"/>
    </w:pPr>
    <w:rPr>
      <w:sz w:val="24"/>
      <w:szCs w:val="28"/>
    </w:rPr>
  </w:style>
  <w:style w:type="character" w:customStyle="1" w:styleId="9">
    <w:name w:val="标题 1 字符"/>
    <w:basedOn w:val="7"/>
    <w:link w:val="2"/>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3052</Words>
  <Characters>3140</Characters>
  <Lines>0</Lines>
  <Paragraphs>0</Paragraphs>
  <TotalTime>11</TotalTime>
  <ScaleCrop>false</ScaleCrop>
  <LinksUpToDate>false</LinksUpToDate>
  <CharactersWithSpaces>3208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2023-12-13T06:40:00Z</dcterms:created>
  <dc:creator>HY</dc:creator>
  <cp:lastModifiedBy>user</cp:lastModifiedBy>
  <dcterms:modified xsi:type="dcterms:W3CDTF">2026-02-12T09:18:45Z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7A8B9EEBBE5CF44854D08A694051CEE1_43</vt:lpwstr>
  </property>
  <property fmtid="{D5CDD505-2E9C-101B-9397-08002B2CF9AE}" pid="4" name="KSOTemplateDocerSaveRecord">
    <vt:lpwstr>eyJoZGlkIjoiYjY4MjgzNmVmYmQ5OThjNWZlOThjYzVkYjdkNWU4YWMiLCJ1c2VySWQiOiIxNjY0OTc3MjkxIn0=</vt:lpwstr>
  </property>
</Properties>
</file>