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71DA1">
      <w:pPr>
        <w:spacing w:line="60" w:lineRule="atLeast"/>
        <w:jc w:val="center"/>
        <w:rPr>
          <w:rFonts w:eastAsia="方正小标宋简体"/>
          <w:bCs/>
          <w:color w:val="FF0000"/>
          <w:spacing w:val="-57"/>
          <w:sz w:val="116"/>
          <w:szCs w:val="116"/>
        </w:rPr>
      </w:pPr>
    </w:p>
    <w:p w14:paraId="3788F440">
      <w:pPr>
        <w:keepNext w:val="0"/>
        <w:keepLines w:val="0"/>
        <w:pageBreakBefore w:val="0"/>
        <w:widowControl w:val="0"/>
        <w:kinsoku/>
        <w:wordWrap/>
        <w:overflowPunct/>
        <w:topLinePunct w:val="0"/>
        <w:autoSpaceDE/>
        <w:autoSpaceDN/>
        <w:bidi w:val="0"/>
        <w:adjustRightInd/>
        <w:snapToGrid/>
        <w:spacing w:line="680" w:lineRule="exact"/>
        <w:jc w:val="right"/>
        <w:textAlignment w:val="auto"/>
        <w:rPr>
          <w:rFonts w:eastAsia="仿宋_GB2312"/>
          <w:sz w:val="32"/>
          <w:szCs w:val="32"/>
        </w:rPr>
      </w:pPr>
    </w:p>
    <w:p w14:paraId="2026744F">
      <w:pPr>
        <w:wordWrap w:val="0"/>
        <w:jc w:val="right"/>
        <w:rPr>
          <w:bCs/>
          <w:sz w:val="44"/>
          <w:szCs w:val="44"/>
        </w:rPr>
      </w:pPr>
      <w:r>
        <w:rPr>
          <w:rFonts w:eastAsia="仿宋_GB2312"/>
          <w:sz w:val="32"/>
          <w:szCs w:val="32"/>
        </w:rPr>
        <w:t>德环审批</w:t>
      </w:r>
      <w:r>
        <w:rPr>
          <w:rFonts w:eastAsia="仿宋_GB2312"/>
          <w:color w:val="000000"/>
          <w:sz w:val="32"/>
          <w:szCs w:val="32"/>
        </w:rPr>
        <w:t>〔</w:t>
      </w:r>
      <w:r>
        <w:rPr>
          <w:rFonts w:hint="eastAsia" w:eastAsia="仿宋_GB2312"/>
          <w:color w:val="000000"/>
          <w:sz w:val="32"/>
          <w:szCs w:val="32"/>
          <w:lang w:val="en-US" w:eastAsia="zh-CN"/>
        </w:rPr>
        <w:t>202</w:t>
      </w:r>
      <w:r>
        <w:rPr>
          <w:rFonts w:hint="eastAsia"/>
          <w:color w:val="000000"/>
          <w:sz w:val="32"/>
          <w:szCs w:val="32"/>
          <w:lang w:val="en-US" w:eastAsia="zh-CN"/>
        </w:rPr>
        <w:t>6</w:t>
      </w:r>
      <w:r>
        <w:rPr>
          <w:rFonts w:eastAsia="仿宋_GB2312"/>
          <w:color w:val="000000"/>
          <w:sz w:val="32"/>
          <w:szCs w:val="32"/>
        </w:rPr>
        <w:t>〕</w:t>
      </w:r>
      <w:r>
        <w:rPr>
          <w:rFonts w:hint="eastAsia"/>
          <w:color w:val="000000"/>
          <w:sz w:val="32"/>
          <w:szCs w:val="32"/>
          <w:lang w:val="en-US" w:eastAsia="zh-CN"/>
        </w:rPr>
        <w:t>43</w:t>
      </w:r>
      <w:r>
        <w:rPr>
          <w:rFonts w:eastAsia="仿宋_GB2312"/>
          <w:sz w:val="32"/>
          <w:szCs w:val="32"/>
        </w:rPr>
        <w:t>号</w:t>
      </w:r>
    </w:p>
    <w:p w14:paraId="721E273E">
      <w:pPr>
        <w:spacing w:line="0" w:lineRule="atLeast"/>
        <w:jc w:val="center"/>
        <w:rPr>
          <w:rFonts w:eastAsia="方正小标宋简体"/>
          <w:sz w:val="44"/>
          <w:szCs w:val="44"/>
        </w:rPr>
      </w:pPr>
    </w:p>
    <w:p w14:paraId="739349AC">
      <w:pPr>
        <w:spacing w:line="600" w:lineRule="exact"/>
        <w:ind w:left="0" w:leftChars="0" w:firstLine="0" w:firstLineChars="0"/>
        <w:jc w:val="center"/>
        <w:rPr>
          <w:rFonts w:eastAsia="方正小标宋简体"/>
          <w:sz w:val="44"/>
          <w:szCs w:val="44"/>
        </w:rPr>
      </w:pPr>
      <w:r>
        <w:rPr>
          <w:rFonts w:eastAsia="方正小标宋简体"/>
          <w:sz w:val="44"/>
          <w:szCs w:val="44"/>
        </w:rPr>
        <w:t>德阳市生态环境局</w:t>
      </w:r>
    </w:p>
    <w:p w14:paraId="57380A84">
      <w:pPr>
        <w:pStyle w:val="5"/>
        <w:keepNext w:val="0"/>
        <w:keepLines w:val="0"/>
        <w:widowControl/>
        <w:suppressLineNumbers w:val="0"/>
        <w:spacing w:before="0" w:beforeAutospacing="0" w:after="0" w:afterAutospacing="0"/>
        <w:ind w:left="0" w:leftChars="0" w:right="0" w:firstLine="0" w:firstLineChars="0"/>
        <w:jc w:val="center"/>
        <w:rPr>
          <w:rFonts w:hint="eastAsia" w:ascii="Times New Roman" w:hAnsi="Times New Roman" w:eastAsia="方正小标宋简体" w:cs="Times New Roman"/>
          <w:kern w:val="2"/>
          <w:sz w:val="44"/>
          <w:szCs w:val="44"/>
          <w:lang w:val="en-US" w:eastAsia="zh-CN" w:bidi="ar-SA"/>
        </w:rPr>
      </w:pPr>
      <w:r>
        <w:rPr>
          <w:rFonts w:hint="eastAsia" w:ascii="Times New Roman" w:hAnsi="Times New Roman" w:eastAsia="方正小标宋简体" w:cs="Times New Roman"/>
          <w:sz w:val="44"/>
          <w:szCs w:val="44"/>
        </w:rPr>
        <w:t>关于</w:t>
      </w:r>
      <w:bookmarkStart w:id="0" w:name="_Hlk215070575"/>
      <w:r>
        <w:rPr>
          <w:rFonts w:hint="eastAsia" w:ascii="Times New Roman" w:hAnsi="Times New Roman" w:eastAsia="方正小标宋简体" w:cs="Times New Roman"/>
          <w:kern w:val="2"/>
          <w:sz w:val="44"/>
          <w:szCs w:val="44"/>
          <w:lang w:val="en-US" w:eastAsia="zh-CN" w:bidi="ar-SA"/>
        </w:rPr>
        <w:t>四川恒升包装有限责任公司</w:t>
      </w:r>
      <w:bookmarkEnd w:id="0"/>
    </w:p>
    <w:p w14:paraId="1750A062">
      <w:pPr>
        <w:pStyle w:val="5"/>
        <w:keepNext w:val="0"/>
        <w:keepLines w:val="0"/>
        <w:widowControl/>
        <w:suppressLineNumbers w:val="0"/>
        <w:spacing w:before="0" w:beforeAutospacing="0" w:after="0" w:afterAutospacing="0"/>
        <w:ind w:left="0" w:leftChars="0" w:right="0" w:firstLine="0" w:firstLineChars="0"/>
        <w:jc w:val="center"/>
        <w:rPr>
          <w:rFonts w:ascii="Times New Roman" w:hAnsi="Times New Roman" w:eastAsia="方正小标宋简体" w:cs="Times New Roman"/>
          <w:kern w:val="2"/>
          <w:sz w:val="44"/>
          <w:szCs w:val="44"/>
          <w:lang w:val="en-US" w:eastAsia="zh-CN" w:bidi="ar-SA"/>
        </w:rPr>
      </w:pPr>
      <w:r>
        <w:rPr>
          <w:rFonts w:hint="eastAsia" w:ascii="Times New Roman" w:hAnsi="Times New Roman" w:eastAsia="方正小标宋简体" w:cs="Times New Roman"/>
          <w:kern w:val="2"/>
          <w:sz w:val="44"/>
          <w:szCs w:val="44"/>
          <w:lang w:val="en-US" w:eastAsia="zh-CN" w:bidi="ar-SA"/>
        </w:rPr>
        <w:t>胶印二期智能化生产线建设项目</w:t>
      </w:r>
    </w:p>
    <w:p w14:paraId="73E77FF1">
      <w:pPr>
        <w:spacing w:line="600" w:lineRule="exact"/>
        <w:ind w:left="0" w:leftChars="0" w:firstLine="0" w:firstLineChars="0"/>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《环境影响报告表》的批复</w:t>
      </w:r>
    </w:p>
    <w:p w14:paraId="15EC028B">
      <w:pPr>
        <w:pStyle w:val="8"/>
        <w:rPr>
          <w:rFonts w:ascii="Times New Roman" w:hAnsi="Times New Roman" w:eastAsia="方正小标宋简体" w:cs="Times New Roman"/>
          <w:sz w:val="44"/>
          <w:szCs w:val="44"/>
        </w:rPr>
      </w:pPr>
    </w:p>
    <w:p w14:paraId="2C5025C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0" w:firstLineChars="0"/>
        <w:textAlignment w:val="auto"/>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四川恒升包装有限责任公司：</w:t>
      </w:r>
    </w:p>
    <w:p w14:paraId="76AA114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你公司报送的</w:t>
      </w:r>
      <w:r>
        <w:rPr>
          <w:rFonts w:hint="eastAsia"/>
          <w:lang w:val="en-US" w:eastAsia="zh-CN"/>
        </w:rPr>
        <w:t>胶印二期智能化生产线建设项目《环境影响报告表》</w:t>
      </w:r>
      <w:r>
        <w:rPr>
          <w:rFonts w:hint="eastAsia" w:ascii="Times New Roman" w:hAnsi="Times New Roman" w:eastAsia="仿宋_GB2312" w:cs="Times New Roman"/>
          <w:kern w:val="2"/>
          <w:sz w:val="32"/>
          <w:szCs w:val="32"/>
          <w:lang w:val="en-US" w:eastAsia="zh-CN" w:bidi="ar-SA"/>
        </w:rPr>
        <w:t>（以下简称“报告表”）</w:t>
      </w:r>
      <w:r>
        <w:rPr>
          <w:rFonts w:hint="eastAsia"/>
          <w:lang w:eastAsia="zh-CN"/>
        </w:rPr>
        <w:t>收悉。经研究，批复如下：</w:t>
      </w:r>
    </w:p>
    <w:p w14:paraId="2F01098E">
      <w:pPr>
        <w:pStyle w:val="8"/>
        <w:keepNext w:val="0"/>
        <w:keepLines w:val="0"/>
        <w:pageBreakBefore w:val="0"/>
        <w:numPr>
          <w:ilvl w:val="0"/>
          <w:numId w:val="1"/>
        </w:numPr>
        <w:kinsoku/>
        <w:wordWrap/>
        <w:overflowPunct/>
        <w:topLinePunct w:val="0"/>
        <w:autoSpaceDE/>
        <w:autoSpaceDN/>
        <w:bidi w:val="0"/>
        <w:adjustRightInd/>
        <w:snapToGrid/>
        <w:spacing w:line="540" w:lineRule="exact"/>
        <w:ind w:firstLine="640"/>
        <w:textAlignment w:val="auto"/>
        <w:rPr>
          <w:rFonts w:hint="eastAsia" w:ascii="Times New Roman" w:hAnsi="Times New Roman" w:eastAsia="仿宋_GB2312" w:cs="Times New Roman"/>
          <w:kern w:val="2"/>
          <w:sz w:val="32"/>
          <w:szCs w:val="32"/>
          <w:lang w:val="en-US" w:eastAsia="zh-CN" w:bidi="ar-SA"/>
        </w:rPr>
      </w:pPr>
      <w:r>
        <w:rPr>
          <w:rFonts w:hint="eastAsia" w:ascii="仿宋_GB2312" w:hAnsi="Times New Roman" w:eastAsia="仿宋_GB2312" w:cs="Times New Roman"/>
          <w:color w:val="000000"/>
          <w:sz w:val="32"/>
          <w:szCs w:val="32"/>
        </w:rPr>
        <w:t>该项目为</w:t>
      </w:r>
      <w:r>
        <w:rPr>
          <w:rFonts w:hint="eastAsia" w:ascii="仿宋_GB2312" w:eastAsia="仿宋_GB2312" w:cs="Times New Roman"/>
          <w:color w:val="000000"/>
          <w:sz w:val="32"/>
          <w:szCs w:val="32"/>
          <w:lang w:eastAsia="zh-CN"/>
        </w:rPr>
        <w:t>技改</w:t>
      </w:r>
      <w:r>
        <w:rPr>
          <w:rFonts w:hint="eastAsia" w:ascii="仿宋_GB2312" w:hAnsi="Times New Roman" w:eastAsia="仿宋_GB2312" w:cs="Times New Roman"/>
          <w:color w:val="000000"/>
          <w:sz w:val="32"/>
          <w:szCs w:val="32"/>
        </w:rPr>
        <w:t>项目,拟</w:t>
      </w:r>
      <w:r>
        <w:rPr>
          <w:rFonts w:hint="eastAsia" w:ascii="仿宋_GB2312" w:eastAsia="仿宋_GB2312" w:cs="Times New Roman"/>
          <w:color w:val="000000"/>
          <w:sz w:val="32"/>
          <w:szCs w:val="32"/>
          <w:lang w:eastAsia="zh-CN"/>
        </w:rPr>
        <w:t>在</w:t>
      </w:r>
      <w:r>
        <w:rPr>
          <w:rFonts w:hint="eastAsia" w:ascii="仿宋_GB2312" w:hAnsi="仿宋_GB2312" w:eastAsia="仿宋_GB2312" w:cs="仿宋_GB2312"/>
          <w:sz w:val="32"/>
          <w:szCs w:val="32"/>
        </w:rPr>
        <w:t>四川省德阳市广汉市新升大道15号</w:t>
      </w:r>
      <w:r>
        <w:rPr>
          <w:rFonts w:hint="eastAsia" w:ascii="仿宋_GB2312" w:eastAsia="仿宋_GB2312" w:cs="Times New Roman"/>
          <w:color w:val="000000"/>
          <w:sz w:val="32"/>
          <w:szCs w:val="32"/>
          <w:lang w:val="en-US" w:eastAsia="zh-CN"/>
        </w:rPr>
        <w:t>已建标准化厂房</w:t>
      </w:r>
      <w:r>
        <w:rPr>
          <w:rFonts w:hint="eastAsia" w:ascii="仿宋_GB2312" w:eastAsia="仿宋_GB2312" w:cs="Times New Roman"/>
          <w:color w:val="000000"/>
          <w:sz w:val="32"/>
          <w:szCs w:val="32"/>
          <w:lang w:eastAsia="zh-CN"/>
        </w:rPr>
        <w:t>建</w:t>
      </w:r>
      <w:r>
        <w:rPr>
          <w:rFonts w:hint="eastAsia" w:ascii="仿宋_GB2312" w:eastAsia="仿宋_GB2312" w:cs="Times New Roman"/>
          <w:color w:val="000000"/>
          <w:sz w:val="32"/>
          <w:szCs w:val="32"/>
          <w:lang w:val="en-US" w:eastAsia="zh-CN"/>
        </w:rPr>
        <w:t>设，不新增用</w:t>
      </w:r>
      <w:r>
        <w:rPr>
          <w:rFonts w:hint="eastAsia" w:ascii="仿宋_GB2312" w:hAnsi="Times New Roman" w:eastAsia="仿宋_GB2312" w:cs="Times New Roman"/>
          <w:color w:val="000000"/>
          <w:sz w:val="32"/>
          <w:szCs w:val="32"/>
          <w:lang w:val="en-US" w:eastAsia="zh-CN"/>
        </w:rPr>
        <w:t>地面积。项目内</w:t>
      </w:r>
      <w:r>
        <w:rPr>
          <w:rFonts w:hint="eastAsia" w:ascii="仿宋_GB2312" w:hAnsi="仿宋_GB2312" w:eastAsia="仿宋_GB2312" w:cs="仿宋_GB2312"/>
          <w:kern w:val="2"/>
          <w:sz w:val="32"/>
          <w:szCs w:val="32"/>
          <w:lang w:val="en-US" w:eastAsia="zh-CN" w:bidi="ar-SA"/>
        </w:rPr>
        <w:t>容及规模为：</w:t>
      </w:r>
      <w:r>
        <w:rPr>
          <w:rFonts w:hint="eastAsia" w:ascii="仿宋_GB2312" w:eastAsia="仿宋_GB2312" w:cs="Times New Roman"/>
          <w:color w:val="000000"/>
          <w:sz w:val="32"/>
          <w:szCs w:val="32"/>
          <w:lang w:val="en-US" w:eastAsia="zh-CN"/>
        </w:rPr>
        <w:t>依托相关公辅设施，对现有胶印生产线进行升级改造，升级两层/三层瓦楞纸板生产</w:t>
      </w:r>
      <w:r>
        <w:rPr>
          <w:rFonts w:hint="eastAsia" w:ascii="仿宋_GB2312" w:cs="Times New Roman"/>
          <w:color w:val="000000"/>
          <w:sz w:val="32"/>
          <w:szCs w:val="32"/>
          <w:lang w:val="en-US" w:eastAsia="zh-CN"/>
        </w:rPr>
        <w:t>线</w:t>
      </w:r>
      <w:r>
        <w:rPr>
          <w:rFonts w:hint="eastAsia" w:ascii="仿宋_GB2312" w:eastAsia="仿宋_GB2312" w:cs="Times New Roman"/>
          <w:color w:val="000000"/>
          <w:sz w:val="32"/>
          <w:szCs w:val="32"/>
          <w:lang w:val="en-US" w:eastAsia="zh-CN"/>
        </w:rPr>
        <w:t>1</w:t>
      </w:r>
      <w:r>
        <w:rPr>
          <w:rFonts w:hint="eastAsia" w:ascii="仿宋_GB2312" w:cs="Times New Roman"/>
          <w:color w:val="000000"/>
          <w:sz w:val="32"/>
          <w:szCs w:val="32"/>
          <w:lang w:val="en-US" w:eastAsia="zh-CN"/>
        </w:rPr>
        <w:t>条</w:t>
      </w:r>
      <w:r>
        <w:rPr>
          <w:rFonts w:hint="eastAsia" w:ascii="仿宋_GB2312" w:eastAsia="仿宋_GB2312" w:cs="Times New Roman"/>
          <w:color w:val="000000"/>
          <w:sz w:val="32"/>
          <w:szCs w:val="32"/>
          <w:lang w:val="en-US" w:eastAsia="zh-CN"/>
        </w:rPr>
        <w:t>、6色彩色印刷机1台、覆膜机1台、全自动模切机1台、全自动钉箱机1台，将现有胶印生产线中上光工序技改为覆膜工序，由消光膜替代光油，项目建成后保持原有年产高档瓦楞纸箱</w:t>
      </w:r>
      <w:r>
        <w:rPr>
          <w:rFonts w:hint="eastAsia" w:ascii="仿宋_GB2312" w:cs="Times New Roman"/>
          <w:color w:val="000000"/>
          <w:sz w:val="32"/>
          <w:szCs w:val="32"/>
          <w:lang w:val="en-US" w:eastAsia="zh-CN"/>
        </w:rPr>
        <w:t>35</w:t>
      </w:r>
      <w:r>
        <w:rPr>
          <w:rFonts w:hint="eastAsia" w:ascii="仿宋_GB2312" w:eastAsia="仿宋_GB2312" w:cs="Times New Roman"/>
          <w:color w:val="000000"/>
          <w:sz w:val="32"/>
          <w:szCs w:val="32"/>
          <w:lang w:val="en-US" w:eastAsia="zh-CN"/>
        </w:rPr>
        <w:t>00万平方米、绿色印刷产品</w:t>
      </w:r>
      <w:r>
        <w:rPr>
          <w:rFonts w:hint="eastAsia" w:ascii="仿宋_GB2312" w:cs="Times New Roman"/>
          <w:color w:val="000000"/>
          <w:sz w:val="32"/>
          <w:szCs w:val="32"/>
          <w:lang w:val="en-US" w:eastAsia="zh-CN"/>
        </w:rPr>
        <w:t>200</w:t>
      </w:r>
      <w:r>
        <w:rPr>
          <w:rFonts w:hint="eastAsia" w:ascii="仿宋_GB2312" w:eastAsia="仿宋_GB2312" w:cs="Times New Roman"/>
          <w:color w:val="000000"/>
          <w:sz w:val="32"/>
          <w:szCs w:val="32"/>
          <w:lang w:val="en-US" w:eastAsia="zh-CN"/>
        </w:rPr>
        <w:t>00万平方米的生产能力不变。项目总投资2300万元，其中环保投资10万元</w:t>
      </w:r>
      <w:r>
        <w:rPr>
          <w:rFonts w:hint="default" w:ascii="Times New Roman" w:hAnsi="Times New Roman" w:eastAsia="仿宋_GB2312" w:cs="Times New Roman"/>
          <w:kern w:val="2"/>
          <w:sz w:val="32"/>
          <w:szCs w:val="32"/>
          <w:lang w:val="en-US" w:eastAsia="zh-CN" w:bidi="ar-SA"/>
        </w:rPr>
        <w:t>。</w:t>
      </w:r>
    </w:p>
    <w:p w14:paraId="5200CD3C">
      <w:pPr>
        <w:pStyle w:val="8"/>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项目在四川省投资项目在线审批监管平台进行了备案（备案号：川投资备[2</w:t>
      </w:r>
      <w:r>
        <w:rPr>
          <w:rFonts w:hint="eastAsia" w:cs="Times New Roman"/>
          <w:kern w:val="2"/>
          <w:sz w:val="32"/>
          <w:szCs w:val="32"/>
          <w:lang w:val="en-US" w:eastAsia="zh-CN" w:bidi="ar-SA"/>
        </w:rPr>
        <w:t>410</w:t>
      </w:r>
      <w:r>
        <w:rPr>
          <w:rFonts w:hint="eastAsia" w:ascii="Times New Roman" w:hAnsi="Times New Roman" w:eastAsia="仿宋_GB2312" w:cs="Times New Roman"/>
          <w:kern w:val="2"/>
          <w:sz w:val="32"/>
          <w:szCs w:val="32"/>
          <w:lang w:val="en-US" w:eastAsia="zh-CN" w:bidi="ar-SA"/>
        </w:rPr>
        <w:t>-510681-0</w:t>
      </w:r>
      <w:r>
        <w:rPr>
          <w:rFonts w:hint="eastAsia" w:cs="Times New Roman"/>
          <w:kern w:val="2"/>
          <w:sz w:val="32"/>
          <w:szCs w:val="32"/>
          <w:lang w:val="en-US" w:eastAsia="zh-CN" w:bidi="ar-SA"/>
        </w:rPr>
        <w:t>7</w:t>
      </w:r>
      <w:r>
        <w:rPr>
          <w:rFonts w:hint="eastAsia" w:ascii="Times New Roman" w:hAnsi="Times New Roman" w:eastAsia="仿宋_GB2312" w:cs="Times New Roman"/>
          <w:kern w:val="2"/>
          <w:sz w:val="32"/>
          <w:szCs w:val="32"/>
          <w:lang w:val="en-US" w:eastAsia="zh-CN" w:bidi="ar-SA"/>
        </w:rPr>
        <w:t>-0</w:t>
      </w:r>
      <w:r>
        <w:rPr>
          <w:rFonts w:hint="eastAsia" w:cs="Times New Roman"/>
          <w:kern w:val="2"/>
          <w:sz w:val="32"/>
          <w:szCs w:val="32"/>
          <w:lang w:val="en-US" w:eastAsia="zh-CN" w:bidi="ar-SA"/>
        </w:rPr>
        <w:t>2</w:t>
      </w:r>
      <w:r>
        <w:rPr>
          <w:rFonts w:hint="eastAsia" w:ascii="Times New Roman" w:hAnsi="Times New Roman" w:eastAsia="仿宋_GB2312" w:cs="Times New Roman"/>
          <w:kern w:val="2"/>
          <w:sz w:val="32"/>
          <w:szCs w:val="32"/>
          <w:lang w:val="en-US" w:eastAsia="zh-CN" w:bidi="ar-SA"/>
        </w:rPr>
        <w:t>-</w:t>
      </w:r>
      <w:r>
        <w:rPr>
          <w:rFonts w:hint="eastAsia" w:cs="Times New Roman"/>
          <w:kern w:val="2"/>
          <w:sz w:val="32"/>
          <w:szCs w:val="32"/>
          <w:lang w:val="en-US" w:eastAsia="zh-CN" w:bidi="ar-SA"/>
        </w:rPr>
        <w:t>128227</w:t>
      </w:r>
      <w:r>
        <w:rPr>
          <w:rFonts w:hint="eastAsia" w:ascii="Times New Roman" w:hAnsi="Times New Roman" w:eastAsia="仿宋_GB2312" w:cs="Times New Roman"/>
          <w:kern w:val="2"/>
          <w:sz w:val="32"/>
          <w:szCs w:val="32"/>
          <w:lang w:val="en-US" w:eastAsia="zh-CN" w:bidi="ar-SA"/>
        </w:rPr>
        <w:t>]</w:t>
      </w:r>
      <w:r>
        <w:rPr>
          <w:rFonts w:hint="eastAsia" w:cs="Times New Roman"/>
          <w:kern w:val="2"/>
          <w:sz w:val="32"/>
          <w:szCs w:val="32"/>
          <w:lang w:val="en-US" w:eastAsia="zh-CN" w:bidi="ar-SA"/>
        </w:rPr>
        <w:t>JXQ</w:t>
      </w:r>
      <w:r>
        <w:rPr>
          <w:rFonts w:hint="eastAsia" w:ascii="Times New Roman" w:hAnsi="Times New Roman" w:eastAsia="仿宋_GB2312" w:cs="Times New Roman"/>
          <w:kern w:val="2"/>
          <w:sz w:val="32"/>
          <w:szCs w:val="32"/>
          <w:lang w:val="en-US" w:eastAsia="zh-CN" w:bidi="ar-SA"/>
        </w:rPr>
        <w:t>B-</w:t>
      </w:r>
      <w:r>
        <w:rPr>
          <w:rFonts w:hint="eastAsia" w:cs="Times New Roman"/>
          <w:kern w:val="2"/>
          <w:sz w:val="32"/>
          <w:szCs w:val="32"/>
          <w:lang w:val="en-US" w:eastAsia="zh-CN" w:bidi="ar-SA"/>
        </w:rPr>
        <w:t>0646</w:t>
      </w:r>
      <w:r>
        <w:rPr>
          <w:rFonts w:hint="eastAsia" w:ascii="Times New Roman" w:hAnsi="Times New Roman" w:eastAsia="仿宋_GB2312" w:cs="Times New Roman"/>
          <w:kern w:val="2"/>
          <w:sz w:val="32"/>
          <w:szCs w:val="32"/>
          <w:lang w:val="en-US" w:eastAsia="zh-CN" w:bidi="ar-SA"/>
        </w:rPr>
        <w:t>号），符合国家现行产业政策</w:t>
      </w:r>
      <w:r>
        <w:rPr>
          <w:rFonts w:hint="eastAsia" w:ascii="Times New Roman" w:hAnsi="Times New Roman" w:eastAsia="仿宋_GB2312" w:cs="Times New Roman"/>
          <w:kern w:val="2"/>
          <w:sz w:val="32"/>
          <w:szCs w:val="32"/>
          <w:lang w:val="zh-CN" w:eastAsia="zh-CN" w:bidi="ar-SA"/>
        </w:rPr>
        <w:t>；该项目符合德阳市生态环境分区管控相关要求，</w:t>
      </w:r>
      <w:r>
        <w:rPr>
          <w:rFonts w:hint="eastAsia" w:ascii="Times New Roman" w:hAnsi="Times New Roman" w:eastAsia="仿宋_GB2312" w:cs="Times New Roman"/>
          <w:kern w:val="2"/>
          <w:sz w:val="32"/>
          <w:szCs w:val="32"/>
          <w:lang w:val="en-US" w:eastAsia="zh-CN" w:bidi="ar-SA"/>
        </w:rPr>
        <w:t>根据</w:t>
      </w:r>
      <w:r>
        <w:rPr>
          <w:rFonts w:hint="eastAsia" w:ascii="Times New Roman" w:hAnsi="Times New Roman" w:eastAsia="仿宋_GB2312" w:cs="Times New Roman"/>
          <w:kern w:val="2"/>
          <w:sz w:val="32"/>
          <w:szCs w:val="32"/>
          <w:lang w:val="zh-CN" w:eastAsia="zh-CN" w:bidi="ar-SA"/>
        </w:rPr>
        <w:t>《</w:t>
      </w:r>
      <w:r>
        <w:rPr>
          <w:rFonts w:hint="eastAsia" w:ascii="Times New Roman" w:hAnsi="Times New Roman" w:eastAsia="仿宋_GB2312" w:cs="Times New Roman"/>
          <w:kern w:val="2"/>
          <w:sz w:val="32"/>
          <w:szCs w:val="32"/>
          <w:lang w:val="en-US" w:eastAsia="zh-CN" w:bidi="ar-SA"/>
        </w:rPr>
        <w:t>德阳国家高新技术产业发展片区国土空间总体规划</w:t>
      </w:r>
      <w:r>
        <w:rPr>
          <w:rFonts w:hint="eastAsia" w:ascii="Times New Roman" w:hAnsi="Times New Roman" w:eastAsia="仿宋_GB2312" w:cs="Times New Roman"/>
          <w:kern w:val="2"/>
          <w:sz w:val="32"/>
          <w:szCs w:val="32"/>
          <w:lang w:val="zh-CN" w:eastAsia="zh-CN" w:bidi="ar-SA"/>
        </w:rPr>
        <w:t>（2021-2035年）》</w:t>
      </w:r>
      <w:r>
        <w:rPr>
          <w:rFonts w:hint="eastAsia" w:ascii="Times New Roman" w:hAnsi="Times New Roman" w:eastAsia="仿宋_GB2312" w:cs="Times New Roman"/>
          <w:kern w:val="2"/>
          <w:sz w:val="32"/>
          <w:szCs w:val="32"/>
          <w:lang w:val="en-US" w:eastAsia="zh-CN" w:bidi="ar-SA"/>
        </w:rPr>
        <w:t>，项目用地性质为</w:t>
      </w:r>
      <w:r>
        <w:rPr>
          <w:rFonts w:hint="eastAsia" w:cs="Times New Roman"/>
          <w:kern w:val="2"/>
          <w:sz w:val="32"/>
          <w:szCs w:val="32"/>
          <w:lang w:val="en-US" w:eastAsia="zh-CN" w:bidi="ar-SA"/>
        </w:rPr>
        <w:t>工业</w:t>
      </w:r>
      <w:r>
        <w:rPr>
          <w:rFonts w:hint="eastAsia" w:ascii="Times New Roman" w:hAnsi="Times New Roman" w:eastAsia="仿宋_GB2312" w:cs="Times New Roman"/>
          <w:kern w:val="2"/>
          <w:sz w:val="32"/>
          <w:szCs w:val="32"/>
          <w:lang w:val="en-US" w:eastAsia="zh-CN" w:bidi="ar-SA"/>
        </w:rPr>
        <w:t>用地，选址符合规划。</w:t>
      </w:r>
    </w:p>
    <w:p w14:paraId="682DCC1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项目在受理和拟批公示期间未收到任何意见反馈，根据专家对《报告表》的审查意见、《报告表》的评价结论，在落实报告表中提出的各项环保对策措施和环境风险防范措施后，项目对环境的不利影响能够得到缓解和控制，项目实施不存在明显的环境制约因素，污染物可以达标排放并符合总量控制要求，原则同意该项目按报告表中所列建设性质、地点、内容、规模、工艺及环保对策措施和风险防范措施进行建设。</w:t>
      </w:r>
    </w:p>
    <w:p w14:paraId="48AFCA7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二、项目建设及运行中应重点做好以下工作：</w:t>
      </w:r>
    </w:p>
    <w:p w14:paraId="1D1FB80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一）必须严格贯彻执行“预防为主、保护优先”的原则，落实项目环保资金，建立健全企业内部环境管理机构和各项环保管理规章制度，落实人员责任，加强环保培训和警示教育，规范环保日常管理。确保主体工程与环保设施同步设计、同步施工、同步投入运行，确保污染治理设施正常运行，污染物稳定达标排放。</w:t>
      </w:r>
    </w:p>
    <w:p w14:paraId="43A73D6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s="Times New Roman"/>
          <w:lang w:eastAsia="zh-CN"/>
        </w:rPr>
      </w:pPr>
      <w:r>
        <w:rPr>
          <w:rFonts w:hint="eastAsia" w:ascii="Times New Roman" w:hAnsi="Times New Roman" w:cs="Times New Roman"/>
          <w:lang w:eastAsia="zh-CN"/>
        </w:rPr>
        <w:t>（二）加强施工期管理，合理安排施工时段和施工场地布设，落实施工期各项环境保护措施，有效控制、减轻或消除施工期废水、废渣、噪声、扬尘等对周围环境的影响。</w:t>
      </w:r>
    </w:p>
    <w:p w14:paraId="7606F29D">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eastAsia"/>
          <w:lang w:val="en-US" w:eastAsia="zh-CN"/>
        </w:rPr>
      </w:pPr>
      <w:r>
        <w:rPr>
          <w:rFonts w:hint="eastAsia"/>
          <w:lang w:eastAsia="zh-CN"/>
        </w:rPr>
        <w:t>（</w:t>
      </w:r>
      <w:r>
        <w:rPr>
          <w:rFonts w:hint="eastAsia"/>
          <w:lang w:val="en-US" w:eastAsia="zh-CN"/>
        </w:rPr>
        <w:t>三</w:t>
      </w:r>
      <w:r>
        <w:rPr>
          <w:rFonts w:hint="eastAsia"/>
          <w:lang w:eastAsia="zh-CN"/>
        </w:rPr>
        <w:t>）严格落实并优化报告表提出的各项废气处理措施。</w:t>
      </w:r>
      <w:r>
        <w:rPr>
          <w:rFonts w:hint="eastAsia" w:ascii="仿宋_GB2312" w:hAnsi="仿宋_GB2312" w:eastAsia="仿宋_GB2312" w:cs="仿宋_GB2312"/>
          <w:color w:val="000000" w:themeColor="text1"/>
          <w:sz w:val="32"/>
          <w:szCs w:val="32"/>
          <w:lang w:eastAsia="zh-CN"/>
          <w14:textFill>
            <w14:solidFill>
              <w14:schemeClr w14:val="tx1"/>
            </w14:solidFill>
          </w14:textFill>
        </w:rPr>
        <w:t>设置密闭胶印车间，分别落</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实胶印车间的密闭负压管道收集以及覆膜机加热滚筒上方的伞形集气罩，</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确保胶印、洗车、覆膜有机废气收集后经二级活性炭吸附装置处理后由1根15米高排气筒达标排放；落实玉米淀粉投料口上方的水喷淋装置，确保少量投料粉尘经喷淋降尘后达标排放，不影响周围环境</w:t>
      </w:r>
      <w:r>
        <w:rPr>
          <w:rFonts w:hint="eastAsia"/>
          <w:lang w:val="en-US" w:eastAsia="zh-CN"/>
        </w:rPr>
        <w:t>。</w:t>
      </w:r>
    </w:p>
    <w:p w14:paraId="4EC1BD2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四</w:t>
      </w:r>
      <w:r>
        <w:rPr>
          <w:rFonts w:hint="eastAsia"/>
          <w:lang w:eastAsia="zh-CN"/>
        </w:rPr>
        <w:t>）严格落实并优化报告表提出的各项废水处理措施。</w:t>
      </w:r>
      <w:r>
        <w:rPr>
          <w:rFonts w:hint="eastAsia" w:ascii="仿宋_GB2312" w:hAnsi="仿宋_GB2312" w:eastAsia="仿宋_GB2312" w:cs="仿宋_GB2312"/>
          <w:color w:val="000000" w:themeColor="text1"/>
          <w:sz w:val="32"/>
          <w:szCs w:val="32"/>
          <w:lang w:eastAsia="zh-CN"/>
          <w14:textFill>
            <w14:solidFill>
              <w14:schemeClr w14:val="tx1"/>
            </w14:solidFill>
          </w14:textFill>
        </w:rPr>
        <w:t>项目</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水印印刷机设备清洗废水经自建污水处理站处理后回用，不外排；软水制备浓水用于厂区绿化；项目食堂废水经隔油处理后会同生活污水、锅炉废水一并经已建二级生化处理设备处理达到</w:t>
      </w:r>
      <w:r>
        <w:rPr>
          <w:rFonts w:hint="eastAsia" w:ascii="仿宋_GB2312" w:hAnsi="仿宋_GB2312" w:eastAsia="仿宋_GB2312" w:cs="仿宋_GB2312"/>
          <w:color w:val="000000"/>
          <w:sz w:val="32"/>
          <w:szCs w:val="32"/>
          <w:lang w:eastAsia="zh-CN"/>
        </w:rPr>
        <w:t>《污水综合排放标准》（GB8978-1996）中三级标准后排入市政污水管网，再经广汉市第</w:t>
      </w:r>
      <w:r>
        <w:rPr>
          <w:rFonts w:hint="eastAsia" w:ascii="仿宋_GB2312" w:hAnsi="仿宋_GB2312" w:cs="仿宋_GB2312"/>
          <w:color w:val="000000"/>
          <w:sz w:val="32"/>
          <w:szCs w:val="32"/>
          <w:lang w:eastAsia="zh-CN"/>
        </w:rPr>
        <w:t>一</w:t>
      </w:r>
      <w:r>
        <w:rPr>
          <w:rFonts w:hint="eastAsia" w:ascii="仿宋_GB2312" w:hAnsi="仿宋_GB2312" w:eastAsia="仿宋_GB2312" w:cs="仿宋_GB2312"/>
          <w:color w:val="000000"/>
          <w:sz w:val="32"/>
          <w:szCs w:val="32"/>
          <w:lang w:eastAsia="zh-CN"/>
        </w:rPr>
        <w:t>污水处理厂处理达《四川省岷江、沱江流域水污染物排放标准》（DB51/2311-2016）中</w:t>
      </w:r>
      <w:r>
        <w:rPr>
          <w:rFonts w:hint="eastAsia" w:ascii="仿宋_GB2312" w:hAnsi="仿宋_GB2312" w:cs="仿宋_GB2312"/>
          <w:color w:val="000000"/>
          <w:sz w:val="32"/>
          <w:szCs w:val="32"/>
          <w:lang w:eastAsia="zh-CN"/>
        </w:rPr>
        <w:t>城镇</w:t>
      </w:r>
      <w:r>
        <w:rPr>
          <w:rFonts w:hint="eastAsia" w:ascii="仿宋_GB2312" w:hAnsi="仿宋_GB2312" w:eastAsia="仿宋_GB2312" w:cs="仿宋_GB2312"/>
          <w:color w:val="000000"/>
          <w:sz w:val="32"/>
          <w:szCs w:val="32"/>
          <w:lang w:eastAsia="zh-CN"/>
        </w:rPr>
        <w:t>污水处理厂标准后外排</w:t>
      </w:r>
      <w:r>
        <w:rPr>
          <w:rFonts w:hint="eastAsia"/>
          <w:lang w:eastAsia="zh-CN"/>
        </w:rPr>
        <w:t>。</w:t>
      </w:r>
    </w:p>
    <w:p w14:paraId="22F0817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五</w:t>
      </w:r>
      <w:r>
        <w:rPr>
          <w:rFonts w:hint="eastAsia"/>
          <w:lang w:eastAsia="zh-CN"/>
        </w:rPr>
        <w:t>）严格落实并优化报告表提出的噪声污染防治措施。合理布局生产车间产噪设施，对高噪作业点和高噪设备配套有效的隔音、降噪及减振设施，确保厂界噪声达标排放不扰民。</w:t>
      </w:r>
    </w:p>
    <w:p w14:paraId="67E758FB">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eastAsia"/>
          <w:lang w:eastAsia="zh-CN"/>
        </w:rPr>
      </w:pPr>
      <w:r>
        <w:rPr>
          <w:rFonts w:hint="eastAsia"/>
          <w:lang w:eastAsia="zh-CN"/>
        </w:rPr>
        <w:t>（</w:t>
      </w:r>
      <w:r>
        <w:rPr>
          <w:rFonts w:hint="eastAsia"/>
          <w:lang w:val="en-US" w:eastAsia="zh-CN"/>
        </w:rPr>
        <w:t>六</w:t>
      </w:r>
      <w:r>
        <w:rPr>
          <w:rFonts w:hint="eastAsia"/>
          <w:lang w:eastAsia="zh-CN"/>
        </w:rPr>
        <w:t>）严格落实并优化报告表提出的各项固体废弃物处置措施。固体废物应按照“减量化、资源化、无害化”的原则进行分类收集和处置，提高回收利用率。加强固体废物产生、收集、贮存、运输、利用、处置全过程环境管理，避免二次污染。</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项目废纸边、纸屑、废包装材料、废消光膜外售废品回收单位综合利用；项目</w:t>
      </w:r>
      <w:r>
        <w:rPr>
          <w:rFonts w:hint="eastAsia" w:ascii="仿宋_GB2312" w:hAnsi="仿宋_GB2312" w:cs="仿宋_GB2312"/>
          <w:bCs/>
          <w:color w:val="000000" w:themeColor="text1"/>
          <w:sz w:val="32"/>
          <w:szCs w:val="32"/>
          <w:lang w:val="en-US" w:eastAsia="zh-CN"/>
          <w14:textFill>
            <w14:solidFill>
              <w14:schemeClr w14:val="tx1"/>
            </w14:solidFill>
          </w14:textFill>
        </w:rPr>
        <w:t>废油墨桶、废机油桶、废显影液桶、废异丙醇桶等</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废料桶、废显影剂、废CTP版、废机油、废抹布及手套、废洗车水（异丙醇）、废活性炭属于危险废物，须</w:t>
      </w:r>
      <w:r>
        <w:rPr>
          <w:rFonts w:hint="eastAsia"/>
          <w:lang w:eastAsia="zh-CN"/>
        </w:rPr>
        <w:t>妥善安全收储，落实专人管理，并严格执行转移联单制度，定期交有危废处理资质的单位处置，其暂存区须采取必要的防风、防晒、防雨、防漏、防渗、防腐以及其他环境污染防治措施。</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生活垃圾由环卫部门清运</w:t>
      </w:r>
      <w:r>
        <w:rPr>
          <w:rFonts w:hint="eastAsia" w:ascii="仿宋_GB2312" w:hAnsi="仿宋_GB2312" w:cs="仿宋_GB2312"/>
          <w:bCs/>
          <w:color w:val="000000" w:themeColor="text1"/>
          <w:sz w:val="32"/>
          <w:szCs w:val="32"/>
          <w:lang w:val="en-US" w:eastAsia="zh-CN"/>
          <w14:textFill>
            <w14:solidFill>
              <w14:schemeClr w14:val="tx1"/>
            </w14:solidFill>
          </w14:textFill>
        </w:rPr>
        <w:t>。</w:t>
      </w:r>
    </w:p>
    <w:p w14:paraId="38747D6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七</w:t>
      </w:r>
      <w:r>
        <w:rPr>
          <w:rFonts w:hint="eastAsia"/>
          <w:lang w:eastAsia="zh-CN"/>
        </w:rPr>
        <w:t>）严格落实并优化报告表提出的地下水和土壤污染防治措施。</w:t>
      </w:r>
      <w:r>
        <w:rPr>
          <w:rFonts w:hint="eastAsia" w:ascii="Times New Roman" w:hAnsi="Times New Roman" w:cs="Times New Roman"/>
          <w:lang w:eastAsia="zh-CN"/>
        </w:rPr>
        <w:t>项目</w:t>
      </w:r>
      <w:r>
        <w:rPr>
          <w:rFonts w:hint="eastAsia"/>
          <w:lang w:eastAsia="zh-CN"/>
        </w:rPr>
        <w:t>将</w:t>
      </w:r>
      <w:r>
        <w:rPr>
          <w:rFonts w:hint="eastAsia"/>
          <w:lang w:val="en-US" w:eastAsia="zh-CN"/>
        </w:rPr>
        <w:t>油墨机油库房、危废暂存间、废水处理站所在区域设置</w:t>
      </w:r>
      <w:r>
        <w:rPr>
          <w:rFonts w:hint="eastAsia"/>
          <w:lang w:eastAsia="zh-CN"/>
        </w:rPr>
        <w:t>为重点防渗区，将除重点防渗区以外的生产区域</w:t>
      </w:r>
      <w:r>
        <w:rPr>
          <w:rFonts w:hint="eastAsia"/>
          <w:lang w:val="en-US" w:eastAsia="zh-CN"/>
        </w:rPr>
        <w:t>设置为一般防渗区，将</w:t>
      </w:r>
      <w:r>
        <w:rPr>
          <w:rFonts w:hint="eastAsia"/>
          <w:lang w:eastAsia="zh-CN"/>
        </w:rPr>
        <w:t>厂区道路及办公区</w:t>
      </w:r>
      <w:r>
        <w:rPr>
          <w:rFonts w:hint="eastAsia"/>
          <w:lang w:val="en-US" w:eastAsia="zh-CN"/>
        </w:rPr>
        <w:t>设置为简单防渗区，</w:t>
      </w:r>
      <w:r>
        <w:rPr>
          <w:rFonts w:hint="eastAsia"/>
          <w:lang w:eastAsia="zh-CN"/>
        </w:rPr>
        <w:t>分别采取防渗措施。建立和完善地下水、土壤污染监控制度和环境管理体系，发现问题及时采取措施，避免污染周边地下水和土壤环境。</w:t>
      </w:r>
    </w:p>
    <w:p w14:paraId="1BE5248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八</w:t>
      </w:r>
      <w:r>
        <w:rPr>
          <w:rFonts w:hint="eastAsia"/>
          <w:lang w:eastAsia="zh-CN"/>
        </w:rPr>
        <w:t>）高度重视并全面加强环境风险管理工作。建立健全环境风险防控和环境应急保障体系，严格按照报告表要求，落实并不断优化各项环境风险防范措施，确保环境安全。</w:t>
      </w:r>
    </w:p>
    <w:p w14:paraId="5884E43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九</w:t>
      </w:r>
      <w:r>
        <w:rPr>
          <w:rFonts w:hint="eastAsia"/>
          <w:lang w:eastAsia="zh-CN"/>
        </w:rPr>
        <w:t>）按照相关要求规范设置各类排污口和标志标牌，落实报告表提出的环境管理要求和监测计划。</w:t>
      </w:r>
    </w:p>
    <w:p w14:paraId="32790F0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val="en-US" w:eastAsia="zh-CN"/>
        </w:rPr>
      </w:pPr>
      <w:r>
        <w:rPr>
          <w:rFonts w:hint="eastAsia"/>
          <w:lang w:eastAsia="zh-CN"/>
        </w:rPr>
        <w:t>三、该项目运营</w:t>
      </w:r>
      <w:r>
        <w:rPr>
          <w:rFonts w:hint="eastAsia"/>
          <w:lang w:val="en-US" w:eastAsia="zh-CN"/>
        </w:rPr>
        <w:t>后</w:t>
      </w:r>
      <w:r>
        <w:rPr>
          <w:rFonts w:hint="eastAsia"/>
          <w:lang w:eastAsia="zh-CN"/>
        </w:rPr>
        <w:t>，</w:t>
      </w:r>
      <w:r>
        <w:rPr>
          <w:rFonts w:hint="eastAsia"/>
          <w:lang w:val="en-US" w:eastAsia="zh-CN"/>
        </w:rPr>
        <w:t>全厂挥发性有机物排放量为0.6124吨/年，氮氧化物排放量为0.965吨/年，化学需氧量排放量为0.6吨/年，氨氮排放量为0.054吨/年，不新增总量指标。</w:t>
      </w:r>
    </w:p>
    <w:p w14:paraId="1AAA788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四、项目开工建设及投入运营前，应依法完备其他行政许可手续。</w:t>
      </w:r>
    </w:p>
    <w:p w14:paraId="25EEB10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五、该报告表批准后，项目的性质、规模、地点、采用的生产工艺或者防治污染、防治生态破坏的措施发生重大变动的，应当重新报批项目的环境影响评价文件，否则不得实施建设。建设项目的环境影响评价文件自批准之日起超过五年，方决定该项目开工建设的，其环境影响评价文件应当报原审批部门重新审核。</w:t>
      </w:r>
    </w:p>
    <w:p w14:paraId="5444C51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六、纳入排污许可管理的行业，必须按照国家排污许可管理有关规定，申领、变更、延续排污许可证或填报排污登记，并按要求提交执行报告，不得无证排污或不按证排污。项目应按规定标准和程序，对配套建设的环境保护设施进行“三同时”自主验收。建设项目防治污染的设施应当符合经批准的环境影响评价文件的要求，不得擅自拆除或者闲置。</w:t>
      </w:r>
    </w:p>
    <w:p w14:paraId="477938B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七、高度重视安全生产工作，并切实履行安全环保主体责任，将环保设备设施安全作为本单位安全工作的重要内容，委托具有相应资质、能力的设计单位对建设项目重点环保设施进行设计，在环保设施设计、建设、验收、运行、检修过程中，严格落实安全生产法律法规标准规范相关要求。</w:t>
      </w:r>
    </w:p>
    <w:p w14:paraId="04E511A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八、该项目的“三同时”监督检查、排污许可监管、日常环境保护监管工作由德阳市广汉生态环境保护综合行政执法大队负责，并接受各级生态环境部门的监督管理。</w:t>
      </w:r>
    </w:p>
    <w:p w14:paraId="1CDF7A1C">
      <w:pPr>
        <w:bidi w:val="0"/>
        <w:rPr>
          <w:rFonts w:hint="eastAsia"/>
          <w:lang w:eastAsia="zh-CN"/>
        </w:rPr>
      </w:pPr>
      <w:r>
        <w:rPr>
          <w:rFonts w:hint="eastAsia"/>
          <w:lang w:eastAsia="zh-CN"/>
        </w:rPr>
        <w:t xml:space="preserve">                </w:t>
      </w:r>
    </w:p>
    <w:p w14:paraId="63028F22">
      <w:pPr>
        <w:bidi w:val="0"/>
        <w:rPr>
          <w:rFonts w:hint="eastAsia"/>
          <w:lang w:eastAsia="zh-CN"/>
        </w:rPr>
      </w:pPr>
    </w:p>
    <w:p w14:paraId="07FFB9EB">
      <w:pPr>
        <w:bidi w:val="0"/>
        <w:jc w:val="center"/>
        <w:rPr>
          <w:rFonts w:hint="eastAsia"/>
          <w:lang w:eastAsia="zh-CN"/>
        </w:rPr>
      </w:pPr>
      <w:r>
        <w:rPr>
          <w:rFonts w:hint="eastAsia"/>
          <w:lang w:val="en-US" w:eastAsia="zh-CN"/>
        </w:rPr>
        <w:t xml:space="preserve">                          </w:t>
      </w:r>
      <w:r>
        <w:rPr>
          <w:rFonts w:hint="eastAsia"/>
          <w:lang w:eastAsia="zh-CN"/>
        </w:rPr>
        <w:t>德阳市生态环境局</w:t>
      </w:r>
    </w:p>
    <w:p w14:paraId="5B7DA9F3">
      <w:pPr>
        <w:bidi w:val="0"/>
        <w:jc w:val="center"/>
        <w:rPr>
          <w:rFonts w:hint="eastAsia"/>
          <w:lang w:eastAsia="zh-CN"/>
        </w:rPr>
      </w:pPr>
      <w:r>
        <w:rPr>
          <w:rFonts w:hint="eastAsia"/>
          <w:lang w:val="en-US" w:eastAsia="zh-CN"/>
        </w:rPr>
        <w:t xml:space="preserve">                          </w:t>
      </w:r>
      <w:r>
        <w:rPr>
          <w:rFonts w:hint="eastAsia"/>
          <w:lang w:eastAsia="zh-CN"/>
        </w:rPr>
        <w:t>202</w:t>
      </w:r>
      <w:r>
        <w:rPr>
          <w:rFonts w:hint="eastAsia"/>
          <w:lang w:val="en-US" w:eastAsia="zh-CN"/>
        </w:rPr>
        <w:t>6</w:t>
      </w:r>
      <w:r>
        <w:rPr>
          <w:rFonts w:hint="eastAsia"/>
          <w:lang w:eastAsia="zh-CN"/>
        </w:rPr>
        <w:t>年</w:t>
      </w:r>
      <w:r>
        <w:rPr>
          <w:rFonts w:hint="eastAsia"/>
          <w:lang w:val="en-US" w:eastAsia="zh-CN"/>
        </w:rPr>
        <w:t>2</w:t>
      </w:r>
      <w:r>
        <w:rPr>
          <w:rFonts w:hint="eastAsia"/>
          <w:lang w:eastAsia="zh-CN"/>
        </w:rPr>
        <w:t>月</w:t>
      </w:r>
      <w:r>
        <w:rPr>
          <w:rFonts w:hint="eastAsia"/>
          <w:lang w:val="en-US" w:eastAsia="zh-CN"/>
        </w:rPr>
        <w:t>12</w:t>
      </w:r>
      <w:r>
        <w:rPr>
          <w:rFonts w:hint="eastAsia"/>
          <w:lang w:eastAsia="zh-CN"/>
        </w:rPr>
        <w:t>日</w:t>
      </w:r>
    </w:p>
    <w:sectPr>
      <w:headerReference r:id="rId5" w:type="default"/>
      <w:footerReference r:id="rId6" w:type="default"/>
      <w:pgSz w:w="11906" w:h="16838"/>
      <w:pgMar w:top="1440" w:right="1587" w:bottom="1440"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C9156">
    <w:pPr>
      <w:pStyle w:val="3"/>
    </w:pPr>
    <w:bookmarkStart w:id="1" w:name="_GoBack"/>
    <w:bookmarkEnd w:id="1"/>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94995E2">
                          <w:pPr>
                            <w:pStyle w:val="3"/>
                            <w:ind w:left="0" w:leftChars="0" w:firstLine="0" w:firstLineChars="0"/>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94995E2">
                    <w:pPr>
                      <w:pStyle w:val="3"/>
                      <w:ind w:left="0" w:leftChars="0" w:firstLine="0" w:firstLineChars="0"/>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388C9">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0996F9"/>
    <w:multiLevelType w:val="singleLevel"/>
    <w:tmpl w:val="5C0996F9"/>
    <w:lvl w:ilvl="0" w:tentative="0">
      <w:start w:val="1"/>
      <w:numFmt w:val="chineseCounting"/>
      <w:suff w:val="nothing"/>
      <w:lvlText w:val="%1、"/>
      <w:lvlJc w:val="left"/>
      <w:rPr>
        <w:rFonts w:hint="eastAsia"/>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F4487"/>
    <w:rsid w:val="017860D6"/>
    <w:rsid w:val="02A5454F"/>
    <w:rsid w:val="02AE534C"/>
    <w:rsid w:val="034F6F7F"/>
    <w:rsid w:val="03DF1EFE"/>
    <w:rsid w:val="0405687A"/>
    <w:rsid w:val="04FF0791"/>
    <w:rsid w:val="06C07F19"/>
    <w:rsid w:val="07EE52C1"/>
    <w:rsid w:val="08E224A3"/>
    <w:rsid w:val="08F53B41"/>
    <w:rsid w:val="0BDE7FA9"/>
    <w:rsid w:val="0C2C57BB"/>
    <w:rsid w:val="0C4A0047"/>
    <w:rsid w:val="0D8434C8"/>
    <w:rsid w:val="0EB01991"/>
    <w:rsid w:val="10476743"/>
    <w:rsid w:val="11A36E95"/>
    <w:rsid w:val="121F6F46"/>
    <w:rsid w:val="157D052D"/>
    <w:rsid w:val="172E0063"/>
    <w:rsid w:val="17425E71"/>
    <w:rsid w:val="17722C48"/>
    <w:rsid w:val="17FF1243"/>
    <w:rsid w:val="1A5823C6"/>
    <w:rsid w:val="1DA61023"/>
    <w:rsid w:val="1F9D62EA"/>
    <w:rsid w:val="1FA7787B"/>
    <w:rsid w:val="207C77B4"/>
    <w:rsid w:val="233040CC"/>
    <w:rsid w:val="240472A7"/>
    <w:rsid w:val="24602490"/>
    <w:rsid w:val="25B23D47"/>
    <w:rsid w:val="25FF5535"/>
    <w:rsid w:val="26742EA2"/>
    <w:rsid w:val="297C0388"/>
    <w:rsid w:val="2A3732D1"/>
    <w:rsid w:val="2A8433D1"/>
    <w:rsid w:val="2B1D6405"/>
    <w:rsid w:val="2B2651EB"/>
    <w:rsid w:val="2B4222FA"/>
    <w:rsid w:val="2B444859"/>
    <w:rsid w:val="2C6B7FAD"/>
    <w:rsid w:val="2DF03A62"/>
    <w:rsid w:val="2E624E98"/>
    <w:rsid w:val="30F523E0"/>
    <w:rsid w:val="31231C2B"/>
    <w:rsid w:val="323C08F4"/>
    <w:rsid w:val="33D84F21"/>
    <w:rsid w:val="342F5CDB"/>
    <w:rsid w:val="3511441F"/>
    <w:rsid w:val="353D16A3"/>
    <w:rsid w:val="35C30878"/>
    <w:rsid w:val="36BF255B"/>
    <w:rsid w:val="37DB3615"/>
    <w:rsid w:val="3847678F"/>
    <w:rsid w:val="398E50E4"/>
    <w:rsid w:val="3A6E4FAF"/>
    <w:rsid w:val="3B8A62BD"/>
    <w:rsid w:val="3C2A03C4"/>
    <w:rsid w:val="3C7E27A6"/>
    <w:rsid w:val="3CEB2C36"/>
    <w:rsid w:val="3DA314CE"/>
    <w:rsid w:val="3DD23BF8"/>
    <w:rsid w:val="3DDBA1E8"/>
    <w:rsid w:val="3EBC975C"/>
    <w:rsid w:val="3EFF15BD"/>
    <w:rsid w:val="3FBF0BEA"/>
    <w:rsid w:val="400438B7"/>
    <w:rsid w:val="41A609A7"/>
    <w:rsid w:val="41B502FB"/>
    <w:rsid w:val="432F1B9E"/>
    <w:rsid w:val="449D70C1"/>
    <w:rsid w:val="452C1BB7"/>
    <w:rsid w:val="471A4C57"/>
    <w:rsid w:val="48A410DE"/>
    <w:rsid w:val="490D1D9A"/>
    <w:rsid w:val="493B5434"/>
    <w:rsid w:val="4AB250DD"/>
    <w:rsid w:val="4C3F558F"/>
    <w:rsid w:val="4C8A6F6D"/>
    <w:rsid w:val="4D9821CA"/>
    <w:rsid w:val="4E074F7B"/>
    <w:rsid w:val="4E20458D"/>
    <w:rsid w:val="4E573B0F"/>
    <w:rsid w:val="4F5EC65D"/>
    <w:rsid w:val="4F74489F"/>
    <w:rsid w:val="4FFB7E3D"/>
    <w:rsid w:val="51323FB7"/>
    <w:rsid w:val="52EB1116"/>
    <w:rsid w:val="545838A3"/>
    <w:rsid w:val="550F5283"/>
    <w:rsid w:val="55922BB8"/>
    <w:rsid w:val="5648005A"/>
    <w:rsid w:val="56EF32D7"/>
    <w:rsid w:val="589C3484"/>
    <w:rsid w:val="598E3781"/>
    <w:rsid w:val="5A282A37"/>
    <w:rsid w:val="5E06623C"/>
    <w:rsid w:val="5ED667A4"/>
    <w:rsid w:val="5EFF032E"/>
    <w:rsid w:val="5F567AEE"/>
    <w:rsid w:val="5FEB8889"/>
    <w:rsid w:val="5FFE353E"/>
    <w:rsid w:val="61FB9F7B"/>
    <w:rsid w:val="62544876"/>
    <w:rsid w:val="6356400A"/>
    <w:rsid w:val="63ED6FC7"/>
    <w:rsid w:val="6488096B"/>
    <w:rsid w:val="65AB4EFC"/>
    <w:rsid w:val="662B4514"/>
    <w:rsid w:val="66737356"/>
    <w:rsid w:val="676F7545"/>
    <w:rsid w:val="67AB7A58"/>
    <w:rsid w:val="67D747D7"/>
    <w:rsid w:val="68522FD5"/>
    <w:rsid w:val="69AB24DF"/>
    <w:rsid w:val="6A02147A"/>
    <w:rsid w:val="6BD00737"/>
    <w:rsid w:val="6CC97B23"/>
    <w:rsid w:val="6D507C88"/>
    <w:rsid w:val="6E0F0E25"/>
    <w:rsid w:val="6F4577DC"/>
    <w:rsid w:val="709B28DF"/>
    <w:rsid w:val="71D36ECE"/>
    <w:rsid w:val="72017C6B"/>
    <w:rsid w:val="721553B9"/>
    <w:rsid w:val="72F02A90"/>
    <w:rsid w:val="73261DAF"/>
    <w:rsid w:val="765B6ABB"/>
    <w:rsid w:val="76CE8E43"/>
    <w:rsid w:val="76E64C26"/>
    <w:rsid w:val="76F90332"/>
    <w:rsid w:val="77712936"/>
    <w:rsid w:val="778EF29E"/>
    <w:rsid w:val="77D93560"/>
    <w:rsid w:val="78901500"/>
    <w:rsid w:val="78A0421B"/>
    <w:rsid w:val="7AC85181"/>
    <w:rsid w:val="7AEA908C"/>
    <w:rsid w:val="7B73C159"/>
    <w:rsid w:val="7BD55DBA"/>
    <w:rsid w:val="7C326B40"/>
    <w:rsid w:val="7C4976F5"/>
    <w:rsid w:val="7DEDD6E5"/>
    <w:rsid w:val="7EBB25C1"/>
    <w:rsid w:val="7F8DF65C"/>
    <w:rsid w:val="7FC9669E"/>
    <w:rsid w:val="97FB581F"/>
    <w:rsid w:val="99D9AE75"/>
    <w:rsid w:val="B7FE93CE"/>
    <w:rsid w:val="BEF56C78"/>
    <w:rsid w:val="BFFFBE58"/>
    <w:rsid w:val="CF34AB87"/>
    <w:rsid w:val="D5FFEBF8"/>
    <w:rsid w:val="DDF90EE6"/>
    <w:rsid w:val="DEFADC5A"/>
    <w:rsid w:val="DFAB541E"/>
    <w:rsid w:val="DFEB678C"/>
    <w:rsid w:val="E17F8CE5"/>
    <w:rsid w:val="EE5FB049"/>
    <w:rsid w:val="F5AFA0B3"/>
    <w:rsid w:val="F7FF0DF7"/>
    <w:rsid w:val="F8FFB427"/>
    <w:rsid w:val="FF1C7614"/>
    <w:rsid w:val="FF5F80B6"/>
    <w:rsid w:val="FFF7A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2092"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9"/>
    <w:autoRedefine/>
    <w:qFormat/>
    <w:uiPriority w:val="0"/>
    <w:pPr>
      <w:keepNext/>
      <w:keepLines/>
      <w:spacing w:line="720" w:lineRule="exact"/>
      <w:ind w:firstLine="0" w:firstLineChars="0"/>
      <w:jc w:val="center"/>
      <w:outlineLvl w:val="0"/>
    </w:pPr>
    <w:rPr>
      <w:rFonts w:ascii="Times New Roman" w:hAnsi="Times New Roman" w:eastAsia="方正小标宋简体"/>
      <w:bCs/>
      <w:kern w:val="44"/>
      <w:sz w:val="44"/>
      <w:szCs w:val="44"/>
    </w:rPr>
  </w:style>
  <w:style w:type="character" w:default="1" w:styleId="7">
    <w:name w:val="Default Paragraph Font"/>
    <w:semiHidden/>
    <w:unhideWhenUsed/>
    <w:qFormat/>
    <w:uiPriority w:val="1"/>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jc w:val="left"/>
    </w:pPr>
    <w:rPr>
      <w:kern w:val="0"/>
      <w:sz w:val="24"/>
    </w:rPr>
  </w:style>
  <w:style w:type="paragraph" w:customStyle="1" w:styleId="8">
    <w:name w:val="+正文"/>
    <w:basedOn w:val="1"/>
    <w:qFormat/>
    <w:uiPriority w:val="0"/>
    <w:pPr>
      <w:spacing w:line="360" w:lineRule="auto"/>
      <w:ind w:firstLine="200" w:firstLineChars="200"/>
    </w:pPr>
    <w:rPr>
      <w:sz w:val="24"/>
      <w:szCs w:val="28"/>
    </w:rPr>
  </w:style>
  <w:style w:type="character" w:customStyle="1" w:styleId="9">
    <w:name w:val="标题 1 字符"/>
    <w:basedOn w:val="7"/>
    <w:link w:val="2"/>
    <w:autoRedefine/>
    <w:qFormat/>
    <w:uiPriority w:val="9"/>
    <w:rPr>
      <w:rFonts w:ascii="Times New Roman" w:hAnsi="Times New Roman" w:eastAsia="方正小标宋简体"/>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2360</Words>
  <Characters>2439</Characters>
  <Lines>0</Lines>
  <Paragraphs>0</Paragraphs>
  <TotalTime>4</TotalTime>
  <ScaleCrop>false</ScaleCrop>
  <LinksUpToDate>false</LinksUpToDate>
  <CharactersWithSpaces>2507</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2023-12-12T22:40:00Z</dcterms:created>
  <dc:creator>HY</dc:creator>
  <cp:lastModifiedBy>user</cp:lastModifiedBy>
  <dcterms:modified xsi:type="dcterms:W3CDTF">2026-02-12T09:22:25Z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11E77400E4A8CC12E05A8069373E2B6A_43</vt:lpwstr>
  </property>
  <property fmtid="{D5CDD505-2E9C-101B-9397-08002B2CF9AE}" pid="4" name="KSOTemplateDocerSaveRecord">
    <vt:lpwstr>eyJoZGlkIjoiYjY4MjgzNmVmYmQ5OThjNWZlOThjYzVkYjdkNWU4YWMiLCJ1c2VySWQiOiIxNjY0OTc3MjkxIn0=</vt:lpwstr>
  </property>
</Properties>
</file>