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keepNext w:val="0"/>
        <w:keepLines w:val="0"/>
        <w:pageBreakBefore w:val="0"/>
        <w:widowControl w:val="0"/>
        <w:kinsoku/>
        <w:wordWrap/>
        <w:overflowPunct/>
        <w:topLinePunct w:val="0"/>
        <w:autoSpaceDE/>
        <w:autoSpaceDN/>
        <w:bidi w:val="0"/>
        <w:adjustRightInd/>
        <w:snapToGrid/>
        <w:spacing w:line="680" w:lineRule="exact"/>
        <w:jc w:val="right"/>
        <w:textAlignment w:val="auto"/>
        <w:rPr>
          <w:rFonts w:eastAsia="仿宋_GB2312"/>
          <w:sz w:val="32"/>
          <w:szCs w:val="32"/>
        </w:rPr>
      </w:pPr>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w:t>
      </w:r>
      <w:r>
        <w:rPr>
          <w:rFonts w:hint="eastAsia"/>
          <w:color w:val="000000"/>
          <w:sz w:val="32"/>
          <w:szCs w:val="32"/>
          <w:lang w:val="en-US" w:eastAsia="zh-CN"/>
        </w:rPr>
        <w:t>6</w:t>
      </w:r>
      <w:r>
        <w:rPr>
          <w:rFonts w:eastAsia="仿宋_GB2312"/>
          <w:color w:val="000000"/>
          <w:sz w:val="32"/>
          <w:szCs w:val="32"/>
        </w:rPr>
        <w:t>〕</w:t>
      </w:r>
      <w:r>
        <w:rPr>
          <w:rFonts w:hint="eastAsia"/>
          <w:color w:val="000000"/>
          <w:sz w:val="32"/>
          <w:szCs w:val="32"/>
          <w:lang w:val="en-US" w:eastAsia="zh-CN"/>
        </w:rPr>
        <w:t>68</w:t>
      </w:r>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7433A182">
      <w:pPr>
        <w:spacing w:line="600" w:lineRule="exact"/>
        <w:ind w:left="0" w:leftChars="0" w:firstLine="0" w:firstLineChars="0"/>
        <w:jc w:val="center"/>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eastAsia="zh-CN"/>
        </w:rPr>
        <w:t>四川智友金属制品有限公司</w:t>
      </w:r>
    </w:p>
    <w:p w14:paraId="307C591A">
      <w:pPr>
        <w:spacing w:line="600" w:lineRule="exact"/>
        <w:ind w:left="0" w:leftChars="0" w:firstLine="0" w:firstLineChars="0"/>
        <w:jc w:val="center"/>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一汽解放电池壳框架及工位器具加工项目</w:t>
      </w:r>
    </w:p>
    <w:p w14:paraId="73E77FF1">
      <w:pPr>
        <w:spacing w:line="600" w:lineRule="exact"/>
        <w:ind w:left="0" w:leftChars="0" w:firstLine="0" w:firstLineChars="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《环境影响报告表》的批复</w:t>
      </w:r>
    </w:p>
    <w:p w14:paraId="15EC028B">
      <w:pPr>
        <w:pStyle w:val="8"/>
        <w:rPr>
          <w:rFonts w:ascii="Times New Roman" w:hAnsi="Times New Roman" w:eastAsia="方正小标宋简体" w:cs="Times New Roman"/>
          <w:sz w:val="44"/>
          <w:szCs w:val="44"/>
        </w:rPr>
      </w:pPr>
    </w:p>
    <w:p w14:paraId="2C5025CA">
      <w:pPr>
        <w:keepNext w:val="0"/>
        <w:keepLines w:val="0"/>
        <w:pageBreakBefore w:val="0"/>
        <w:widowControl w:val="0"/>
        <w:kinsoku/>
        <w:wordWrap/>
        <w:overflowPunct/>
        <w:topLinePunct w:val="0"/>
        <w:autoSpaceDE/>
        <w:autoSpaceDN/>
        <w:bidi w:val="0"/>
        <w:adjustRightInd/>
        <w:snapToGrid/>
        <w:spacing w:line="530" w:lineRule="exact"/>
        <w:ind w:left="0" w:leftChars="0" w:firstLine="0" w:firstLineChars="0"/>
        <w:textAlignment w:val="auto"/>
        <w:rPr>
          <w:rFonts w:hint="eastAsia" w:ascii="仿宋_GB2312" w:hAnsi="仿宋_GB2312" w:cs="仿宋_GB2312"/>
          <w:sz w:val="32"/>
          <w:szCs w:val="32"/>
          <w:lang w:eastAsia="zh-CN"/>
        </w:rPr>
      </w:pPr>
      <w:r>
        <w:rPr>
          <w:rFonts w:hint="eastAsia" w:ascii="仿宋_GB2312" w:hAnsi="仿宋_GB2312" w:eastAsia="仿宋_GB2312" w:cs="仿宋_GB2312"/>
          <w:sz w:val="32"/>
          <w:szCs w:val="32"/>
          <w:lang w:eastAsia="zh-CN"/>
        </w:rPr>
        <w:t>四川智友金属制品有限公司</w:t>
      </w:r>
      <w:r>
        <w:rPr>
          <w:rFonts w:hint="eastAsia" w:ascii="仿宋_GB2312" w:hAnsi="仿宋_GB2312" w:cs="仿宋_GB2312"/>
          <w:sz w:val="32"/>
          <w:szCs w:val="32"/>
          <w:lang w:eastAsia="zh-CN"/>
        </w:rPr>
        <w:t>：</w:t>
      </w:r>
    </w:p>
    <w:p w14:paraId="76AA1146">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你公司报送的</w:t>
      </w:r>
      <w:r>
        <w:rPr>
          <w:rFonts w:hint="eastAsia" w:ascii="仿宋_GB2312" w:hAnsi="仿宋_GB2312" w:eastAsia="仿宋_GB2312" w:cs="仿宋_GB2312"/>
          <w:sz w:val="32"/>
          <w:szCs w:val="32"/>
          <w:lang w:eastAsia="zh-CN"/>
        </w:rPr>
        <w:t>一汽解放电池壳框架及工位器具加工项目</w:t>
      </w:r>
      <w:r>
        <w:rPr>
          <w:rFonts w:hint="eastAsia" w:ascii="Times New Roman" w:hAnsi="Times New Roman" w:eastAsia="仿宋_GB2312" w:cs="Times New Roman"/>
          <w:kern w:val="2"/>
          <w:sz w:val="32"/>
          <w:szCs w:val="32"/>
          <w:lang w:val="en-US" w:eastAsia="zh-CN" w:bidi="ar-SA"/>
        </w:rPr>
        <w:t>《环境影响报告表》（以下简称“报告表”）</w:t>
      </w:r>
      <w:r>
        <w:rPr>
          <w:rFonts w:hint="eastAsia"/>
          <w:lang w:eastAsia="zh-CN"/>
        </w:rPr>
        <w:t>收悉。经研究，批复如下：</w:t>
      </w:r>
    </w:p>
    <w:p w14:paraId="2F01098E">
      <w:pPr>
        <w:pStyle w:val="8"/>
        <w:keepNext w:val="0"/>
        <w:keepLines w:val="0"/>
        <w:pageBreakBefore w:val="0"/>
        <w:numPr>
          <w:ilvl w:val="0"/>
          <w:numId w:val="1"/>
        </w:numPr>
        <w:kinsoku/>
        <w:wordWrap/>
        <w:overflowPunct/>
        <w:topLinePunct w:val="0"/>
        <w:autoSpaceDE/>
        <w:autoSpaceDN/>
        <w:bidi w:val="0"/>
        <w:adjustRightInd/>
        <w:snapToGrid/>
        <w:spacing w:line="530" w:lineRule="exact"/>
        <w:ind w:firstLine="640"/>
        <w:textAlignment w:val="auto"/>
        <w:rPr>
          <w:rFonts w:hint="eastAsia" w:ascii="Times New Roman" w:hAnsi="Times New Roman" w:eastAsia="仿宋_GB2312" w:cs="Times New Roman"/>
          <w:kern w:val="2"/>
          <w:sz w:val="32"/>
          <w:szCs w:val="32"/>
          <w:lang w:val="en-US" w:eastAsia="zh-CN" w:bidi="ar-SA"/>
        </w:rPr>
      </w:pPr>
      <w:r>
        <w:rPr>
          <w:rFonts w:hint="eastAsia" w:ascii="仿宋_GB2312" w:hAnsi="Times New Roman" w:eastAsia="仿宋_GB2312" w:cs="Times New Roman"/>
          <w:color w:val="000000"/>
          <w:sz w:val="32"/>
          <w:szCs w:val="32"/>
        </w:rPr>
        <w:t>该项目为</w:t>
      </w:r>
      <w:r>
        <w:rPr>
          <w:rFonts w:hint="eastAsia" w:ascii="仿宋_GB2312" w:eastAsia="仿宋_GB2312" w:cs="Times New Roman"/>
          <w:color w:val="000000"/>
          <w:sz w:val="32"/>
          <w:szCs w:val="32"/>
          <w:lang w:eastAsia="zh-CN"/>
        </w:rPr>
        <w:t>新建</w:t>
      </w:r>
      <w:r>
        <w:rPr>
          <w:rFonts w:hint="eastAsia" w:ascii="仿宋_GB2312" w:hAnsi="Times New Roman" w:eastAsia="仿宋_GB2312" w:cs="Times New Roman"/>
          <w:color w:val="000000"/>
          <w:sz w:val="32"/>
          <w:szCs w:val="32"/>
        </w:rPr>
        <w:t>项目,拟</w:t>
      </w:r>
      <w:r>
        <w:rPr>
          <w:rFonts w:hint="eastAsia" w:ascii="仿宋_GB2312" w:hAnsi="Times New Roman" w:eastAsia="仿宋_GB2312" w:cs="Times New Roman"/>
          <w:color w:val="000000"/>
          <w:sz w:val="32"/>
          <w:szCs w:val="32"/>
          <w:lang w:eastAsia="zh-CN"/>
        </w:rPr>
        <w:t>在</w:t>
      </w:r>
      <w:r>
        <w:rPr>
          <w:rFonts w:hint="default" w:ascii="仿宋_GB2312" w:hAnsi="仿宋_GB2312" w:eastAsia="仿宋_GB2312" w:cs="仿宋_GB2312"/>
          <w:sz w:val="32"/>
          <w:szCs w:val="32"/>
          <w:lang w:eastAsia="zh-CN"/>
        </w:rPr>
        <w:t>广汉市汉州街道玉溪路四段26号</w:t>
      </w:r>
      <w:r>
        <w:rPr>
          <w:rFonts w:hint="eastAsia" w:ascii="仿宋_GB2312" w:eastAsia="仿宋_GB2312" w:cs="Times New Roman"/>
          <w:color w:val="000000"/>
          <w:sz w:val="32"/>
          <w:szCs w:val="32"/>
          <w:lang w:eastAsia="zh-CN"/>
        </w:rPr>
        <w:t>租</w:t>
      </w:r>
      <w:r>
        <w:rPr>
          <w:rFonts w:hint="eastAsia" w:ascii="仿宋_GB2312" w:eastAsia="仿宋_GB2312" w:cs="Times New Roman"/>
          <w:color w:val="000000"/>
          <w:sz w:val="32"/>
          <w:szCs w:val="32"/>
          <w:lang w:val="en-US" w:eastAsia="zh-CN"/>
        </w:rPr>
        <w:t>赁</w:t>
      </w:r>
      <w:r>
        <w:rPr>
          <w:rFonts w:hint="eastAsia" w:ascii="仿宋_GB2312" w:hAnsi="Times New Roman" w:eastAsia="仿宋_GB2312" w:cs="Times New Roman"/>
          <w:color w:val="000000"/>
          <w:sz w:val="32"/>
          <w:szCs w:val="32"/>
          <w:lang w:eastAsia="zh-CN"/>
        </w:rPr>
        <w:t>广汉市鑫龙废旧物资回收站</w:t>
      </w:r>
      <w:r>
        <w:rPr>
          <w:rFonts w:hint="eastAsia" w:ascii="仿宋_GB2312" w:hAnsi="Times New Roman" w:eastAsia="仿宋_GB2312" w:cs="Times New Roman"/>
          <w:color w:val="000000"/>
          <w:sz w:val="32"/>
          <w:szCs w:val="32"/>
          <w:lang w:val="en-US" w:eastAsia="zh-CN"/>
        </w:rPr>
        <w:t>已建标</w:t>
      </w:r>
      <w:r>
        <w:rPr>
          <w:rFonts w:hint="eastAsia" w:ascii="仿宋_GB2312" w:eastAsia="仿宋_GB2312" w:cs="Times New Roman"/>
          <w:color w:val="000000"/>
          <w:sz w:val="32"/>
          <w:szCs w:val="32"/>
          <w:lang w:val="en-US" w:eastAsia="zh-CN"/>
        </w:rPr>
        <w:t>准化厂房</w:t>
      </w:r>
      <w:r>
        <w:rPr>
          <w:rFonts w:hint="eastAsia" w:ascii="仿宋_GB2312" w:eastAsia="仿宋_GB2312" w:cs="Times New Roman"/>
          <w:color w:val="000000"/>
          <w:sz w:val="32"/>
          <w:szCs w:val="32"/>
          <w:lang w:eastAsia="zh-CN"/>
        </w:rPr>
        <w:t>建</w:t>
      </w:r>
      <w:r>
        <w:rPr>
          <w:rFonts w:hint="eastAsia" w:ascii="仿宋_GB2312" w:eastAsia="仿宋_GB2312" w:cs="Times New Roman"/>
          <w:color w:val="000000"/>
          <w:sz w:val="32"/>
          <w:szCs w:val="32"/>
          <w:lang w:val="en-US" w:eastAsia="zh-CN"/>
        </w:rPr>
        <w:t>设，用</w:t>
      </w:r>
      <w:r>
        <w:rPr>
          <w:rFonts w:hint="eastAsia" w:ascii="仿宋_GB2312" w:hAnsi="Times New Roman" w:eastAsia="仿宋_GB2312" w:cs="Times New Roman"/>
          <w:color w:val="000000"/>
          <w:sz w:val="32"/>
          <w:szCs w:val="32"/>
          <w:lang w:val="en-US" w:eastAsia="zh-CN"/>
        </w:rPr>
        <w:t>地面积</w:t>
      </w:r>
      <w:r>
        <w:rPr>
          <w:rFonts w:hint="eastAsia" w:ascii="仿宋_GB2312" w:eastAsia="仿宋_GB2312" w:cs="Times New Roman"/>
          <w:color w:val="000000"/>
          <w:sz w:val="32"/>
          <w:szCs w:val="32"/>
          <w:lang w:val="en-US" w:eastAsia="zh-CN"/>
        </w:rPr>
        <w:t>1500平方米</w:t>
      </w:r>
      <w:r>
        <w:rPr>
          <w:rFonts w:hint="eastAsia" w:ascii="仿宋_GB2312" w:hAnsi="Times New Roman" w:eastAsia="仿宋_GB2312" w:cs="Times New Roman"/>
          <w:color w:val="000000"/>
          <w:sz w:val="32"/>
          <w:szCs w:val="32"/>
          <w:lang w:val="en-US" w:eastAsia="zh-CN"/>
        </w:rPr>
        <w:t>。项目内</w:t>
      </w:r>
      <w:r>
        <w:rPr>
          <w:rFonts w:hint="eastAsia" w:ascii="仿宋_GB2312" w:hAnsi="仿宋_GB2312" w:eastAsia="仿宋_GB2312" w:cs="仿宋_GB2312"/>
          <w:kern w:val="2"/>
          <w:sz w:val="32"/>
          <w:szCs w:val="32"/>
          <w:lang w:val="en-US" w:eastAsia="zh-CN" w:bidi="ar-SA"/>
        </w:rPr>
        <w:t>容及规模为：</w:t>
      </w:r>
      <w:r>
        <w:rPr>
          <w:rFonts w:hint="eastAsia" w:ascii="仿宋_GB2312" w:eastAsia="仿宋_GB2312" w:cs="Times New Roman"/>
          <w:color w:val="000000"/>
          <w:sz w:val="32"/>
          <w:szCs w:val="32"/>
          <w:lang w:val="en-US" w:eastAsia="zh-CN"/>
        </w:rPr>
        <w:t>依托相关公辅设施，购</w:t>
      </w:r>
      <w:r>
        <w:rPr>
          <w:rFonts w:hint="eastAsia" w:ascii="仿宋_GB2312" w:hAnsi="Times New Roman" w:eastAsia="仿宋_GB2312" w:cs="Times New Roman"/>
          <w:color w:val="000000"/>
          <w:sz w:val="32"/>
          <w:szCs w:val="32"/>
          <w:lang w:val="en-US" w:eastAsia="zh-CN"/>
        </w:rPr>
        <w:t>置</w:t>
      </w:r>
      <w:r>
        <w:rPr>
          <w:rFonts w:hint="default" w:ascii="仿宋_GB2312" w:hAnsi="Times New Roman" w:eastAsia="仿宋_GB2312" w:cs="Times New Roman"/>
          <w:color w:val="000000"/>
          <w:sz w:val="32"/>
          <w:szCs w:val="32"/>
          <w:lang w:val="en-US" w:eastAsia="zh-CN"/>
        </w:rPr>
        <w:t>焊</w:t>
      </w:r>
      <w:r>
        <w:rPr>
          <w:rFonts w:hint="eastAsia" w:ascii="仿宋_GB2312" w:hAnsi="Times New Roman" w:eastAsia="仿宋_GB2312" w:cs="Times New Roman"/>
          <w:color w:val="000000"/>
          <w:sz w:val="32"/>
          <w:szCs w:val="32"/>
          <w:lang w:val="en-US" w:eastAsia="zh-CN"/>
        </w:rPr>
        <w:t>机、冲压机床、激光切割机、粉末喷涂线、烘干炉、喷砂机、角磨机等生产设备，布设电池壳框架、工位器具生产线，项目建成后形成年产电池壳框架18000台、工位器具20000台</w:t>
      </w:r>
      <w:bookmarkStart w:id="0" w:name="_GoBack"/>
      <w:bookmarkEnd w:id="0"/>
      <w:r>
        <w:rPr>
          <w:rFonts w:hint="eastAsia" w:ascii="仿宋_GB2312" w:hAnsi="Times New Roman" w:eastAsia="仿宋_GB2312" w:cs="Times New Roman"/>
          <w:color w:val="000000"/>
          <w:sz w:val="32"/>
          <w:szCs w:val="32"/>
          <w:lang w:val="en-US" w:eastAsia="zh-CN"/>
        </w:rPr>
        <w:t>的生产能力。项目总投资450万元，其中环保投资38.2万元</w:t>
      </w:r>
      <w:r>
        <w:rPr>
          <w:rFonts w:hint="eastAsia" w:ascii="Times New Roman" w:hAnsi="Times New Roman" w:eastAsia="仿宋_GB2312" w:cs="Times New Roman"/>
          <w:kern w:val="2"/>
          <w:sz w:val="32"/>
          <w:szCs w:val="32"/>
          <w:lang w:val="en-US" w:eastAsia="zh-CN" w:bidi="ar-SA"/>
        </w:rPr>
        <w:t>。</w:t>
      </w:r>
    </w:p>
    <w:p w14:paraId="033BB77A">
      <w:pPr>
        <w:pStyle w:val="8"/>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项目在四川省投资项目在线审批监管平台进行了备案（备案号：川投资备[2</w:t>
      </w:r>
      <w:r>
        <w:rPr>
          <w:rFonts w:hint="eastAsia" w:cs="Times New Roman"/>
          <w:kern w:val="2"/>
          <w:sz w:val="32"/>
          <w:szCs w:val="32"/>
          <w:lang w:val="en-US" w:eastAsia="zh-CN" w:bidi="ar-SA"/>
        </w:rPr>
        <w:t>601</w:t>
      </w:r>
      <w:r>
        <w:rPr>
          <w:rFonts w:hint="eastAsia" w:ascii="Times New Roman" w:hAnsi="Times New Roman" w:eastAsia="仿宋_GB2312" w:cs="Times New Roman"/>
          <w:kern w:val="2"/>
          <w:sz w:val="32"/>
          <w:szCs w:val="32"/>
          <w:lang w:val="en-US" w:eastAsia="zh-CN" w:bidi="ar-SA"/>
        </w:rPr>
        <w:t>-510681-0</w:t>
      </w:r>
      <w:r>
        <w:rPr>
          <w:rFonts w:hint="eastAsia"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-0</w:t>
      </w:r>
      <w:r>
        <w:rPr>
          <w:rFonts w:hint="eastAsia"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w:t>
      </w:r>
      <w:r>
        <w:rPr>
          <w:rFonts w:hint="eastAsia" w:cs="Times New Roman"/>
          <w:kern w:val="2"/>
          <w:sz w:val="32"/>
          <w:szCs w:val="32"/>
          <w:lang w:val="en-US" w:eastAsia="zh-CN" w:bidi="ar-SA"/>
        </w:rPr>
        <w:t>836200</w:t>
      </w:r>
      <w:r>
        <w:rPr>
          <w:rFonts w:hint="eastAsia" w:ascii="Times New Roman" w:hAnsi="Times New Roman" w:eastAsia="仿宋_GB2312" w:cs="Times New Roman"/>
          <w:kern w:val="2"/>
          <w:sz w:val="32"/>
          <w:szCs w:val="32"/>
          <w:lang w:val="en-US" w:eastAsia="zh-CN" w:bidi="ar-SA"/>
        </w:rPr>
        <w:t>]</w:t>
      </w:r>
      <w:r>
        <w:rPr>
          <w:rFonts w:hint="eastAsia" w:cs="Times New Roman"/>
          <w:kern w:val="2"/>
          <w:sz w:val="32"/>
          <w:szCs w:val="32"/>
          <w:lang w:val="en-US" w:eastAsia="zh-CN" w:bidi="ar-SA"/>
        </w:rPr>
        <w:t>FGQ</w:t>
      </w:r>
      <w:r>
        <w:rPr>
          <w:rFonts w:hint="eastAsia" w:ascii="Times New Roman" w:hAnsi="Times New Roman" w:eastAsia="仿宋_GB2312" w:cs="Times New Roman"/>
          <w:kern w:val="2"/>
          <w:sz w:val="32"/>
          <w:szCs w:val="32"/>
          <w:lang w:val="en-US" w:eastAsia="zh-CN" w:bidi="ar-SA"/>
        </w:rPr>
        <w:t>B-</w:t>
      </w:r>
      <w:r>
        <w:rPr>
          <w:rFonts w:hint="eastAsia" w:cs="Times New Roman"/>
          <w:kern w:val="2"/>
          <w:sz w:val="32"/>
          <w:szCs w:val="32"/>
          <w:lang w:val="en-US" w:eastAsia="zh-CN" w:bidi="ar-SA"/>
        </w:rPr>
        <w:t>0046</w:t>
      </w:r>
      <w:r>
        <w:rPr>
          <w:rFonts w:hint="eastAsia" w:ascii="Times New Roman" w:hAnsi="Times New Roman" w:eastAsia="仿宋_GB2312" w:cs="Times New Roman"/>
          <w:kern w:val="2"/>
          <w:sz w:val="32"/>
          <w:szCs w:val="32"/>
          <w:lang w:val="en-US" w:eastAsia="zh-CN" w:bidi="ar-SA"/>
        </w:rPr>
        <w:t>号），符合国家现行产业政策</w:t>
      </w:r>
      <w:r>
        <w:rPr>
          <w:rFonts w:hint="eastAsia" w:ascii="Times New Roman" w:hAnsi="Times New Roman" w:eastAsia="仿宋_GB2312" w:cs="Times New Roman"/>
          <w:kern w:val="2"/>
          <w:sz w:val="32"/>
          <w:szCs w:val="32"/>
          <w:lang w:val="zh-CN" w:eastAsia="zh-CN" w:bidi="ar-SA"/>
        </w:rPr>
        <w:t>；该项目符合德阳市生态环境分区管控相关要求，</w:t>
      </w:r>
      <w:r>
        <w:rPr>
          <w:rFonts w:hint="eastAsia" w:cs="Times New Roman"/>
          <w:kern w:val="2"/>
          <w:sz w:val="32"/>
          <w:szCs w:val="32"/>
          <w:lang w:val="zh-CN" w:eastAsia="zh-CN" w:bidi="ar-SA"/>
        </w:rPr>
        <w:t>根据</w:t>
      </w:r>
      <w:r>
        <w:rPr>
          <w:rFonts w:hint="eastAsia" w:ascii="仿宋_GB2312" w:hAnsi="仿宋_GB2312" w:eastAsia="仿宋_GB2312" w:cs="仿宋_GB2312"/>
          <w:kern w:val="2"/>
          <w:sz w:val="32"/>
          <w:szCs w:val="32"/>
          <w:lang w:val="zh-CN" w:eastAsia="zh-CN" w:bidi="ar-SA"/>
        </w:rPr>
        <w:t>《</w:t>
      </w:r>
      <w:r>
        <w:rPr>
          <w:rFonts w:hint="eastAsia" w:ascii="仿宋_GB2312" w:hAnsi="仿宋_GB2312" w:cs="仿宋_GB2312"/>
          <w:kern w:val="2"/>
          <w:sz w:val="32"/>
          <w:szCs w:val="32"/>
          <w:lang w:val="en-US" w:eastAsia="zh-CN" w:bidi="ar-SA"/>
        </w:rPr>
        <w:t>广汉市</w:t>
      </w:r>
      <w:r>
        <w:rPr>
          <w:rFonts w:hint="eastAsia" w:ascii="仿宋_GB2312" w:hAnsi="仿宋_GB2312" w:eastAsia="仿宋_GB2312" w:cs="仿宋_GB2312"/>
          <w:kern w:val="2"/>
          <w:sz w:val="32"/>
          <w:szCs w:val="32"/>
          <w:lang w:val="en-US" w:eastAsia="zh-CN" w:bidi="ar-SA"/>
        </w:rPr>
        <w:t>国土空间总体规</w:t>
      </w:r>
      <w:r>
        <w:rPr>
          <w:rFonts w:hint="eastAsia" w:ascii="Times New Roman" w:hAnsi="Times New Roman" w:eastAsia="仿宋_GB2312" w:cs="Times New Roman"/>
          <w:kern w:val="2"/>
          <w:sz w:val="32"/>
          <w:szCs w:val="32"/>
          <w:lang w:val="en-US" w:eastAsia="zh-CN" w:bidi="ar-SA"/>
        </w:rPr>
        <w:t>划(2021-2035年)</w:t>
      </w:r>
      <w:r>
        <w:rPr>
          <w:rFonts w:hint="eastAsia" w:ascii="仿宋_GB2312" w:hAnsi="仿宋_GB2312" w:eastAsia="仿宋_GB2312" w:cs="仿宋_GB2312"/>
          <w:kern w:val="2"/>
          <w:sz w:val="32"/>
          <w:szCs w:val="32"/>
          <w:lang w:val="zh-CN" w:eastAsia="zh-CN" w:bidi="ar-SA"/>
        </w:rPr>
        <w:t>》</w:t>
      </w:r>
      <w:r>
        <w:rPr>
          <w:rFonts w:hint="eastAsia" w:cs="Times New Roman"/>
          <w:kern w:val="2"/>
          <w:sz w:val="32"/>
          <w:szCs w:val="32"/>
          <w:lang w:val="zh-CN" w:eastAsia="zh-CN" w:bidi="ar-SA"/>
        </w:rPr>
        <w:t>，项目用地性质为工业用地，选址符合规划。</w:t>
      </w:r>
    </w:p>
    <w:p w14:paraId="682DCC11">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二、项目建设及运行中应重点做好以下工作：</w:t>
      </w:r>
    </w:p>
    <w:p w14:paraId="1D1FB803">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43A73D6F">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ascii="Times New Roman" w:hAnsi="Times New Roman" w:cs="Times New Roman"/>
          <w:lang w:eastAsia="zh-CN"/>
        </w:rPr>
      </w:pPr>
      <w:r>
        <w:rPr>
          <w:rFonts w:hint="eastAsia" w:ascii="Times New Roman" w:hAnsi="Times New Roman" w:cs="Times New Roman"/>
          <w:lang w:eastAsia="zh-CN"/>
        </w:rPr>
        <w:t>（二）加强施工期管理，合理安排施工时段和施工场地布设，落实施工期各项环境保护措施，有效控制、减轻或消除施工期废水、废渣、噪声、扬尘等对周围环境的影响。</w:t>
      </w:r>
    </w:p>
    <w:p w14:paraId="6323F051">
      <w:pPr>
        <w:keepNext w:val="0"/>
        <w:keepLines w:val="0"/>
        <w:pageBreakBefore w:val="0"/>
        <w:widowControl/>
        <w:suppressLineNumbers w:val="0"/>
        <w:kinsoku/>
        <w:wordWrap/>
        <w:overflowPunct/>
        <w:topLinePunct w:val="0"/>
        <w:autoSpaceDE/>
        <w:autoSpaceDN/>
        <w:bidi w:val="0"/>
        <w:adjustRightInd/>
        <w:snapToGrid/>
        <w:spacing w:line="530" w:lineRule="exact"/>
        <w:jc w:val="left"/>
        <w:textAlignment w:val="auto"/>
        <w:rPr>
          <w:rFonts w:hint="eastAsia"/>
          <w:lang w:val="en-US" w:eastAsia="zh-CN"/>
        </w:rPr>
      </w:pPr>
      <w:r>
        <w:rPr>
          <w:rFonts w:hint="eastAsia"/>
          <w:lang w:eastAsia="zh-CN"/>
        </w:rPr>
        <w:t>（</w:t>
      </w:r>
      <w:r>
        <w:rPr>
          <w:rFonts w:hint="eastAsia"/>
          <w:lang w:val="en-US" w:eastAsia="zh-CN"/>
        </w:rPr>
        <w:t>三</w:t>
      </w:r>
      <w:r>
        <w:rPr>
          <w:rFonts w:hint="eastAsia"/>
          <w:lang w:eastAsia="zh-CN"/>
        </w:rPr>
        <w:t>）严格落实并优化报告表提出的各项废气处理措施。</w:t>
      </w:r>
      <w:r>
        <w:rPr>
          <w:rFonts w:hint="eastAsia" w:ascii="仿宋_GB2312" w:hAnsi="仿宋_GB2312" w:cs="仿宋_GB2312"/>
          <w:color w:val="000000" w:themeColor="text1"/>
          <w:sz w:val="32"/>
          <w:szCs w:val="32"/>
          <w:lang w:eastAsia="zh-CN"/>
          <w14:textFill>
            <w14:solidFill>
              <w14:schemeClr w14:val="tx1"/>
            </w14:solidFill>
          </w14:textFill>
        </w:rPr>
        <w:t>设置</w:t>
      </w:r>
      <w:r>
        <w:rPr>
          <w:rFonts w:hint="eastAsia" w:ascii="仿宋_GB2312" w:hAnsi="仿宋_GB2312" w:eastAsia="仿宋_GB2312" w:cs="仿宋_GB2312"/>
          <w:color w:val="000000" w:themeColor="text1"/>
          <w:sz w:val="32"/>
          <w:szCs w:val="32"/>
          <w:lang w:eastAsia="zh-CN"/>
          <w14:textFill>
            <w14:solidFill>
              <w14:schemeClr w14:val="tx1"/>
            </w14:solidFill>
          </w14:textFill>
        </w:rPr>
        <w:t>密闭打磨房、喷砂机、喷粉室、烘干房，分别落实切割机设备下方配套的下抽式集气系统、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焊接工位顶部的集气罩、打磨房的密闭管道收集，确保</w:t>
      </w:r>
      <w:r>
        <w:rPr>
          <w:rFonts w:hint="eastAsia" w:ascii="仿宋_GB2312" w:hAnsi="仿宋_GB2312" w:eastAsia="仿宋_GB2312" w:cs="仿宋_GB2312"/>
          <w:color w:val="000000" w:themeColor="text1"/>
          <w:sz w:val="32"/>
          <w:szCs w:val="32"/>
          <w:lang w:eastAsia="zh-CN"/>
          <w14:textFill>
            <w14:solidFill>
              <w14:schemeClr w14:val="tx1"/>
            </w14:solidFill>
          </w14:textFill>
        </w:rPr>
        <w:t>切割烟尘、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焊接</w:t>
      </w:r>
      <w:r>
        <w:rPr>
          <w:rFonts w:hint="eastAsia" w:ascii="仿宋_GB2312" w:hAnsi="仿宋_GB2312" w:eastAsia="仿宋_GB2312" w:cs="仿宋_GB2312"/>
          <w:color w:val="000000" w:themeColor="text1"/>
          <w:sz w:val="32"/>
          <w:szCs w:val="32"/>
          <w:lang w:eastAsia="zh-CN"/>
          <w14:textFill>
            <w14:solidFill>
              <w14:schemeClr w14:val="tx1"/>
            </w14:solidFill>
          </w14:textFill>
        </w:rPr>
        <w:t>烟尘、打磨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粉尘收集后经布袋除尘器处理后由1根15米高排气筒达标排放；落实喷砂机的顶部抽气孔</w:t>
      </w:r>
      <w:r>
        <w:rPr>
          <w:rFonts w:hint="eastAsia" w:ascii="仿宋_GB2312" w:hAnsi="仿宋_GB2312" w:eastAsia="仿宋_GB2312" w:cs="仿宋_GB2312"/>
          <w:color w:val="000000" w:themeColor="text1"/>
          <w:sz w:val="32"/>
          <w:szCs w:val="32"/>
          <w:lang w:eastAsia="zh-CN"/>
          <w14:textFill>
            <w14:solidFill>
              <w14:schemeClr w14:val="tx1"/>
            </w14:solidFill>
          </w14:textFill>
        </w:rPr>
        <w:t>+旋风除尘器+布袋除尘器，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确保喷砂粉尘经收集处理后由1根15米高排气筒达标排放；</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落实喷粉室的内侧抽风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系统+旋风除尘+布袋除尘，确保喷塑粉尘经收集处理后由1根15米高排气筒达标排放；</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落实烘干房的顶部风管以及进出口集气罩+二级活性炭吸附装置，确保烘干有机废气、天然气燃烧废气经收集处理后由1根15米高排气筒达标排放</w:t>
      </w:r>
      <w:r>
        <w:rPr>
          <w:rFonts w:hint="eastAsia"/>
          <w:lang w:val="en-US" w:eastAsia="zh-CN"/>
        </w:rPr>
        <w:t>。</w:t>
      </w:r>
    </w:p>
    <w:p w14:paraId="4EC1BD23">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w:t>
      </w:r>
      <w:r>
        <w:rPr>
          <w:rFonts w:hint="eastAsia"/>
          <w:lang w:val="en-US" w:eastAsia="zh-CN"/>
        </w:rPr>
        <w:t>四</w:t>
      </w:r>
      <w:r>
        <w:rPr>
          <w:rFonts w:hint="eastAsia"/>
          <w:lang w:eastAsia="zh-CN"/>
        </w:rPr>
        <w:t>）严格落实并优化报告表提出的各项废水处理措施。</w:t>
      </w:r>
      <w:r>
        <w:rPr>
          <w:rFonts w:hint="eastAsia"/>
          <w:lang w:val="en-US" w:eastAsia="zh-CN"/>
        </w:rPr>
        <w:t>项目</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车间清洗废水、员工洗手废水经车间隔油池处理后会同生活污水一并依托广汉市鑫龙废旧物资回收站已建预处理池处理达</w:t>
      </w:r>
      <w:r>
        <w:rPr>
          <w:rFonts w:hint="eastAsia"/>
          <w:lang w:val="en-US" w:eastAsia="zh-CN"/>
        </w:rPr>
        <w:t>《污水综合排放标准》（GB8978-1996）三级标准后</w:t>
      </w:r>
      <w:r>
        <w:rPr>
          <w:rFonts w:hint="eastAsia"/>
          <w:lang w:eastAsia="zh-CN"/>
        </w:rPr>
        <w:t>《排入市政污水管网，由广汉市第二污水处理厂处理达《四川省岷江、沱江流域水污染物排放标准》（DB51/2311-2016）中工业园区集中式污水处理厂标准后外排</w:t>
      </w:r>
      <w:r>
        <w:rPr>
          <w:rFonts w:hint="eastAsia"/>
          <w:lang w:val="en-US" w:eastAsia="zh-CN"/>
        </w:rPr>
        <w:t>。</w:t>
      </w:r>
    </w:p>
    <w:p w14:paraId="22F0817E">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w:t>
      </w:r>
      <w:r>
        <w:rPr>
          <w:rFonts w:hint="eastAsia"/>
          <w:lang w:val="en-US" w:eastAsia="zh-CN"/>
        </w:rPr>
        <w:t>五</w:t>
      </w:r>
      <w:r>
        <w:rPr>
          <w:rFonts w:hint="eastAsia"/>
          <w:lang w:eastAsia="zh-CN"/>
        </w:rPr>
        <w:t>）严格落实并优化报告表提出的噪声污染防治措施。合理布局生产车间产噪设施，对高噪作业点和高噪设备配套有效的隔音、降噪及减振设施，确保厂界噪声达标排放不扰民。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pageBreakBefore w:val="0"/>
        <w:widowControl/>
        <w:suppressLineNumbers w:val="0"/>
        <w:kinsoku/>
        <w:wordWrap/>
        <w:overflowPunct/>
        <w:topLinePunct w:val="0"/>
        <w:autoSpaceDE/>
        <w:autoSpaceDN/>
        <w:bidi w:val="0"/>
        <w:adjustRightInd/>
        <w:snapToGrid/>
        <w:spacing w:line="530" w:lineRule="exact"/>
        <w:jc w:val="left"/>
        <w:textAlignment w:val="auto"/>
        <w:rPr>
          <w:rFonts w:hint="eastAsia"/>
          <w:lang w:eastAsia="zh-CN"/>
        </w:rPr>
      </w:pPr>
      <w:r>
        <w:rPr>
          <w:rFonts w:hint="eastAsia"/>
          <w:lang w:eastAsia="zh-CN"/>
        </w:rPr>
        <w:t>（</w:t>
      </w:r>
      <w:r>
        <w:rPr>
          <w:rFonts w:hint="eastAsia"/>
          <w:lang w:val="en-US" w:eastAsia="zh-CN"/>
        </w:rPr>
        <w:t>六</w:t>
      </w:r>
      <w:r>
        <w:rPr>
          <w:rFonts w:hint="eastAsia"/>
          <w:lang w:eastAsia="zh-CN"/>
        </w:rPr>
        <w:t>）严格落实并优化报告表提出的各项固体废弃物处置措施。固体废物应按照“减量化、资源化、无害化”的原则进行分类收集和处置，提高回收利用率。加强固体废物产生、收集、贮存、运输、利用、处置全过程环境管理，避免二次污染。</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项目金属废料、</w:t>
      </w:r>
      <w:r>
        <w:rPr>
          <w:rFonts w:hint="eastAsia" w:ascii="仿宋_GB2312" w:hAnsi="仿宋_GB2312" w:cs="仿宋_GB2312"/>
          <w:bCs/>
          <w:color w:val="000000" w:themeColor="text1"/>
          <w:sz w:val="32"/>
          <w:szCs w:val="32"/>
          <w:lang w:val="en-US" w:eastAsia="zh-CN"/>
          <w14:textFill>
            <w14:solidFill>
              <w14:schemeClr w14:val="tx1"/>
            </w14:solidFill>
          </w14:textFill>
        </w:rPr>
        <w:t>切割、喷砂、打磨、焊接除尘系统收尘灰、</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焊渣、废砂轮片、废钢砂外售废品回收单位综合利用；旋风除尘器收集的喷塑粉尘收集后回用于生产，布袋收集的喷粉收尘灰交塑粉回收企业回收利用；废布袋、废气瓶由供应商定期回收利用；预处理池污泥</w:t>
      </w:r>
      <w:r>
        <w:rPr>
          <w:rFonts w:hint="eastAsia" w:ascii="仿宋_GB2312" w:hAnsi="仿宋_GB2312" w:eastAsia="仿宋_GB2312" w:cs="仿宋_GB2312"/>
          <w:bCs/>
          <w:color w:val="000000" w:themeColor="text1"/>
          <w:sz w:val="32"/>
          <w:szCs w:val="32"/>
          <w:lang w:val="zh-CN" w:eastAsia="zh-CN"/>
          <w14:textFill>
            <w14:solidFill>
              <w14:schemeClr w14:val="tx1"/>
            </w14:solidFill>
          </w14:textFill>
        </w:rPr>
        <w:t>交由有处置能力的单位处置；</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项目废活性炭、废液压油、废液压油桶、含油棉纱手套、</w:t>
      </w:r>
      <w:r>
        <w:rPr>
          <w:rFonts w:hint="eastAsia" w:ascii="仿宋_GB2312" w:hAnsi="仿宋_GB2312" w:cs="仿宋_GB2312"/>
          <w:bCs/>
          <w:color w:val="000000" w:themeColor="text1"/>
          <w:sz w:val="32"/>
          <w:szCs w:val="32"/>
          <w:lang w:val="en-US" w:eastAsia="zh-CN"/>
          <w14:textFill>
            <w14:solidFill>
              <w14:schemeClr w14:val="tx1"/>
            </w14:solidFill>
          </w14:textFill>
        </w:rPr>
        <w:t>废清洗剂包装桶、</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隔油池浮油属于危险废物，须</w:t>
      </w:r>
      <w:r>
        <w:rPr>
          <w:rFonts w:hint="eastAsia"/>
          <w:lang w:eastAsia="zh-CN"/>
        </w:rPr>
        <w:t>妥善安全收储，落实专人管理，并严格执行转移联单制度，定期交有危废处理资质的单位处置，其暂存区须采取必要的防风、防晒、防雨、防漏、防渗、防腐以及其他环境污染防治措施；</w:t>
      </w:r>
      <w:r>
        <w:rPr>
          <w:rFonts w:hint="eastAsia" w:ascii="仿宋_GB2312" w:hAnsi="仿宋_GB2312" w:eastAsia="仿宋_GB2312" w:cs="仿宋_GB2312"/>
          <w:color w:val="000000" w:themeColor="text1"/>
          <w:sz w:val="32"/>
          <w:szCs w:val="32"/>
          <w:lang w:eastAsia="zh-CN"/>
          <w14:textFill>
            <w14:solidFill>
              <w14:schemeClr w14:val="tx1"/>
            </w14:solidFill>
          </w14:textFill>
        </w:rPr>
        <w:t>生活垃圾交环卫部门清运</w:t>
      </w:r>
      <w:r>
        <w:rPr>
          <w:rFonts w:hint="eastAsia"/>
          <w:lang w:eastAsia="zh-CN"/>
        </w:rPr>
        <w:t>。</w:t>
      </w:r>
    </w:p>
    <w:p w14:paraId="38747D68">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w:t>
      </w:r>
      <w:r>
        <w:rPr>
          <w:rFonts w:hint="eastAsia"/>
          <w:lang w:val="en-US" w:eastAsia="zh-CN"/>
        </w:rPr>
        <w:t>七</w:t>
      </w:r>
      <w:r>
        <w:rPr>
          <w:rFonts w:hint="eastAsia"/>
          <w:lang w:eastAsia="zh-CN"/>
        </w:rPr>
        <w:t>）严格落实并优化报告表提出的地下水和土壤污染防治措施。</w:t>
      </w:r>
      <w:r>
        <w:rPr>
          <w:rFonts w:hint="eastAsia" w:ascii="Times New Roman" w:hAnsi="Times New Roman" w:cs="Times New Roman"/>
          <w:lang w:eastAsia="zh-CN"/>
        </w:rPr>
        <w:t>项目将</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危废暂存间</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、涉油设施地面、车间</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隔油池</w:t>
      </w:r>
      <w:r>
        <w:rPr>
          <w:rFonts w:hint="eastAsia" w:ascii="Times New Roman" w:hAnsi="Times New Roman" w:cs="Times New Roman"/>
          <w:lang w:eastAsia="zh-CN"/>
        </w:rPr>
        <w:t>设置为重点防渗区，</w:t>
      </w:r>
      <w:r>
        <w:rPr>
          <w:rFonts w:hint="eastAsia"/>
          <w:highlight w:val="none"/>
          <w:lang w:eastAsia="zh-CN"/>
        </w:rPr>
        <w:t>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生产车间、</w:t>
      </w:r>
      <w:r>
        <w:rPr>
          <w:rFonts w:hint="eastAsia" w:ascii="仿宋_GB2312" w:hAnsi="仿宋_GB2312" w:cs="仿宋_GB2312"/>
          <w:color w:val="000000" w:themeColor="text1"/>
          <w:sz w:val="32"/>
          <w:szCs w:val="32"/>
          <w:lang w:val="en-US" w:eastAsia="zh-CN"/>
          <w14:textFill>
            <w14:solidFill>
              <w14:schemeClr w14:val="tx1"/>
            </w14:solidFill>
          </w14:textFill>
        </w:rPr>
        <w:t>预处理池</w:t>
      </w:r>
      <w:r>
        <w:rPr>
          <w:rFonts w:hint="eastAsia"/>
          <w:lang w:val="en-US" w:eastAsia="zh-CN"/>
        </w:rPr>
        <w:t>设置为一般防渗区，将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办公</w:t>
      </w:r>
      <w:r>
        <w:rPr>
          <w:rFonts w:hint="eastAsia" w:ascii="仿宋_GB2312" w:hAnsi="仿宋_GB2312" w:cs="仿宋_GB2312"/>
          <w:color w:val="000000" w:themeColor="text1"/>
          <w:sz w:val="32"/>
          <w:szCs w:val="32"/>
          <w:lang w:val="en-US" w:eastAsia="zh-CN"/>
          <w14:textFill>
            <w14:solidFill>
              <w14:schemeClr w14:val="tx1"/>
            </w14:solidFill>
          </w14:textFill>
        </w:rPr>
        <w:t>楼、厂区道路等</w:t>
      </w:r>
      <w:r>
        <w:rPr>
          <w:rFonts w:hint="eastAsia"/>
          <w:lang w:val="en-US" w:eastAsia="zh-CN"/>
        </w:rPr>
        <w:t>设置为简单防渗区，</w:t>
      </w:r>
      <w:r>
        <w:rPr>
          <w:rFonts w:hint="eastAsia"/>
          <w:lang w:eastAsia="zh-CN"/>
        </w:rPr>
        <w:t>分别采取防渗措施。建立和完善地下水、土壤污染监控制度和环境管理体系，发现问题及时采取措施，避免污染周边地下水和土壤环境。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5884E435">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0B8B6035">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ascii="Times New Roman" w:hAnsi="Times New Roman" w:cs="Times New Roman"/>
          <w:lang w:val="en-US" w:eastAsia="zh-CN"/>
        </w:rPr>
      </w:pPr>
      <w:r>
        <w:rPr>
          <w:rFonts w:hint="eastAsia"/>
          <w:lang w:eastAsia="zh-CN"/>
        </w:rPr>
        <w:t>三、该项目运营</w:t>
      </w:r>
      <w:r>
        <w:rPr>
          <w:rFonts w:hint="eastAsia"/>
          <w:lang w:val="en-US" w:eastAsia="zh-CN"/>
        </w:rPr>
        <w:t>后</w:t>
      </w:r>
      <w:r>
        <w:rPr>
          <w:rFonts w:hint="eastAsia"/>
          <w:lang w:eastAsia="zh-CN"/>
        </w:rPr>
        <w:t>，</w:t>
      </w:r>
      <w:r>
        <w:rPr>
          <w:rFonts w:hint="eastAsia"/>
          <w:lang w:val="en-US" w:eastAsia="zh-CN"/>
        </w:rPr>
        <w:t>全厂氮氧化物排放量为0.4675吨/年，挥发性有机物排放量为0.03367吨/年，化学需氧量排放量为0.007吨/年，氨氮排放量为0.0009吨/年，其总量指标按德阳市广汉生态环境局总量文件执行</w:t>
      </w:r>
      <w:r>
        <w:rPr>
          <w:rFonts w:hint="eastAsia" w:ascii="Times New Roman" w:hAnsi="Times New Roman" w:cs="Times New Roman"/>
          <w:lang w:val="en-US" w:eastAsia="zh-CN"/>
        </w:rPr>
        <w:t>。</w:t>
      </w:r>
    </w:p>
    <w:p w14:paraId="1AAA7889">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四、项目开工建设及投入运营前，应依法完备其他行政许可手续。</w:t>
      </w:r>
    </w:p>
    <w:p w14:paraId="25EEB101">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5444C51D">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477938B3">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04E511A8">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p>
    <w:p w14:paraId="1CDF7A1C">
      <w:pPr>
        <w:bidi w:val="0"/>
        <w:rPr>
          <w:rFonts w:hint="eastAsia"/>
          <w:lang w:eastAsia="zh-CN"/>
        </w:rPr>
      </w:pPr>
      <w:r>
        <w:rPr>
          <w:rFonts w:hint="eastAsia"/>
          <w:lang w:eastAsia="zh-CN"/>
        </w:rPr>
        <w:t xml:space="preserve">                </w:t>
      </w:r>
    </w:p>
    <w:p w14:paraId="4C71CEE3">
      <w:pPr>
        <w:bidi w:val="0"/>
        <w:rPr>
          <w:rFonts w:hint="eastAsia"/>
          <w:lang w:eastAsia="zh-CN"/>
        </w:rPr>
      </w:pP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6</w:t>
      </w:r>
      <w:r>
        <w:rPr>
          <w:rFonts w:hint="eastAsia"/>
          <w:lang w:eastAsia="zh-CN"/>
        </w:rPr>
        <w:t>年</w:t>
      </w:r>
      <w:r>
        <w:rPr>
          <w:rFonts w:hint="default"/>
          <w:lang w:val="en-US" w:eastAsia="zh-CN"/>
        </w:rPr>
        <w:t>3</w:t>
      </w:r>
      <w:r>
        <w:rPr>
          <w:rFonts w:hint="eastAsia"/>
          <w:lang w:eastAsia="zh-CN"/>
        </w:rPr>
        <w:t>月</w:t>
      </w:r>
      <w:r>
        <w:rPr>
          <w:rFonts w:hint="eastAsia"/>
          <w:lang w:val="en-US" w:eastAsia="zh-CN"/>
        </w:rPr>
        <w:t>18</w:t>
      </w:r>
      <w:r>
        <w:rPr>
          <w:rFonts w:hint="eastAsia"/>
          <w:lang w:eastAsia="zh-CN"/>
        </w:rPr>
        <w:t>日</w:t>
      </w:r>
    </w:p>
    <w:sectPr>
      <w:headerReference r:id="rId5" w:type="default"/>
      <w:footerReference r:id="rId6" w:type="default"/>
      <w:pgSz w:w="11906" w:h="16838"/>
      <w:pgMar w:top="1440" w:right="1587" w:bottom="1440"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altName w:val="方正书宋_GBK"/>
    <w:panose1 w:val="02010600030101010101"/>
    <w:charset w:val="88"/>
    <w:family w:val="modern"/>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0CDA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140074">
                          <w:pPr>
                            <w:pStyle w:val="3"/>
                            <w:ind w:left="0" w:leftChars="0" w:firstLine="0" w:firstLineChars="0"/>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140074">
                    <w:pPr>
                      <w:pStyle w:val="3"/>
                      <w:ind w:left="0" w:leftChars="0" w:firstLine="0" w:firstLineChars="0"/>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010AD">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996F9"/>
    <w:multiLevelType w:val="singleLevel"/>
    <w:tmpl w:val="5C0996F9"/>
    <w:lvl w:ilvl="0" w:tentative="0">
      <w:start w:val="1"/>
      <w:numFmt w:val="chineseCounting"/>
      <w:suff w:val="nothing"/>
      <w:lvlText w:val="%1、"/>
      <w:lvlJc w:val="left"/>
      <w:rPr>
        <w:rFonts w:hint="eastAsia"/>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F4487"/>
    <w:rsid w:val="017860D6"/>
    <w:rsid w:val="02A5454F"/>
    <w:rsid w:val="02AE534C"/>
    <w:rsid w:val="034F6F7F"/>
    <w:rsid w:val="03DF1EFE"/>
    <w:rsid w:val="0405687A"/>
    <w:rsid w:val="04FF0791"/>
    <w:rsid w:val="06C07F19"/>
    <w:rsid w:val="07EE52C1"/>
    <w:rsid w:val="08E224A3"/>
    <w:rsid w:val="08F53B41"/>
    <w:rsid w:val="0BDE7FA9"/>
    <w:rsid w:val="0C2C57BB"/>
    <w:rsid w:val="0C4A0047"/>
    <w:rsid w:val="0D8434C8"/>
    <w:rsid w:val="0EB01991"/>
    <w:rsid w:val="10476743"/>
    <w:rsid w:val="11A36E95"/>
    <w:rsid w:val="121F6F46"/>
    <w:rsid w:val="157D052D"/>
    <w:rsid w:val="172E0063"/>
    <w:rsid w:val="17425E71"/>
    <w:rsid w:val="17722C48"/>
    <w:rsid w:val="17FF1243"/>
    <w:rsid w:val="1A5823C6"/>
    <w:rsid w:val="1DA61023"/>
    <w:rsid w:val="1F9D62EA"/>
    <w:rsid w:val="1FA7787B"/>
    <w:rsid w:val="207C77B4"/>
    <w:rsid w:val="233040CC"/>
    <w:rsid w:val="240472A7"/>
    <w:rsid w:val="24602490"/>
    <w:rsid w:val="25B23D47"/>
    <w:rsid w:val="25FF5535"/>
    <w:rsid w:val="26742EA2"/>
    <w:rsid w:val="297C0388"/>
    <w:rsid w:val="2A3732D1"/>
    <w:rsid w:val="2A8433D1"/>
    <w:rsid w:val="2B1D6405"/>
    <w:rsid w:val="2B2651EB"/>
    <w:rsid w:val="2B4222FA"/>
    <w:rsid w:val="2B444859"/>
    <w:rsid w:val="2C6B7FAD"/>
    <w:rsid w:val="2DF03A62"/>
    <w:rsid w:val="2E624E98"/>
    <w:rsid w:val="2FFF6860"/>
    <w:rsid w:val="30F523E0"/>
    <w:rsid w:val="31231C2B"/>
    <w:rsid w:val="323C08F4"/>
    <w:rsid w:val="33D84F21"/>
    <w:rsid w:val="342F5CDB"/>
    <w:rsid w:val="3511441F"/>
    <w:rsid w:val="353D16A3"/>
    <w:rsid w:val="35C30878"/>
    <w:rsid w:val="36BF255B"/>
    <w:rsid w:val="37DB3615"/>
    <w:rsid w:val="3847678F"/>
    <w:rsid w:val="398E50E4"/>
    <w:rsid w:val="3A6E4FAF"/>
    <w:rsid w:val="3B8A62BD"/>
    <w:rsid w:val="3C2A03C4"/>
    <w:rsid w:val="3C7E27A6"/>
    <w:rsid w:val="3CEB2C36"/>
    <w:rsid w:val="3DA314CE"/>
    <w:rsid w:val="3DD23BF8"/>
    <w:rsid w:val="3DFDD149"/>
    <w:rsid w:val="3F79B776"/>
    <w:rsid w:val="400438B7"/>
    <w:rsid w:val="41A609A7"/>
    <w:rsid w:val="41B502FB"/>
    <w:rsid w:val="432F1B9E"/>
    <w:rsid w:val="449D70C1"/>
    <w:rsid w:val="452C1BB7"/>
    <w:rsid w:val="471A4C57"/>
    <w:rsid w:val="48A410DE"/>
    <w:rsid w:val="490D1D9A"/>
    <w:rsid w:val="493B5434"/>
    <w:rsid w:val="4AB250DD"/>
    <w:rsid w:val="4B36C321"/>
    <w:rsid w:val="4C3F558F"/>
    <w:rsid w:val="4C8A6F6D"/>
    <w:rsid w:val="4E074F7B"/>
    <w:rsid w:val="4E20458D"/>
    <w:rsid w:val="4E573B0F"/>
    <w:rsid w:val="4F74489F"/>
    <w:rsid w:val="52EB1116"/>
    <w:rsid w:val="545838A3"/>
    <w:rsid w:val="550F5283"/>
    <w:rsid w:val="557333AD"/>
    <w:rsid w:val="55922BB8"/>
    <w:rsid w:val="55A83CB4"/>
    <w:rsid w:val="5648005A"/>
    <w:rsid w:val="56EF32D7"/>
    <w:rsid w:val="587F1642"/>
    <w:rsid w:val="589C3484"/>
    <w:rsid w:val="598E3781"/>
    <w:rsid w:val="5A282A37"/>
    <w:rsid w:val="5E06623C"/>
    <w:rsid w:val="5EFECF18"/>
    <w:rsid w:val="5EFF032E"/>
    <w:rsid w:val="5F567AEE"/>
    <w:rsid w:val="5FD70778"/>
    <w:rsid w:val="62544876"/>
    <w:rsid w:val="6356400A"/>
    <w:rsid w:val="63ED6FC7"/>
    <w:rsid w:val="6488096B"/>
    <w:rsid w:val="65AB4EFC"/>
    <w:rsid w:val="662B4514"/>
    <w:rsid w:val="66737356"/>
    <w:rsid w:val="67AB7A58"/>
    <w:rsid w:val="67D747D7"/>
    <w:rsid w:val="68522FD5"/>
    <w:rsid w:val="69AB24DF"/>
    <w:rsid w:val="69BDF21A"/>
    <w:rsid w:val="6A02147A"/>
    <w:rsid w:val="6BD00737"/>
    <w:rsid w:val="6CC97B23"/>
    <w:rsid w:val="6D507C88"/>
    <w:rsid w:val="6E0F0E25"/>
    <w:rsid w:val="6F4577DC"/>
    <w:rsid w:val="6F7F22D6"/>
    <w:rsid w:val="709B28DF"/>
    <w:rsid w:val="71BDA153"/>
    <w:rsid w:val="71D36ECE"/>
    <w:rsid w:val="72017C6B"/>
    <w:rsid w:val="721553B9"/>
    <w:rsid w:val="72F02A90"/>
    <w:rsid w:val="73261DAF"/>
    <w:rsid w:val="73FF814B"/>
    <w:rsid w:val="765B6ABB"/>
    <w:rsid w:val="76CE8E43"/>
    <w:rsid w:val="76E64C26"/>
    <w:rsid w:val="77712936"/>
    <w:rsid w:val="77D93560"/>
    <w:rsid w:val="78901500"/>
    <w:rsid w:val="78A0421B"/>
    <w:rsid w:val="79679799"/>
    <w:rsid w:val="7AC85181"/>
    <w:rsid w:val="7BD55DBA"/>
    <w:rsid w:val="7C326B40"/>
    <w:rsid w:val="7C4976F5"/>
    <w:rsid w:val="7DEDD6E5"/>
    <w:rsid w:val="7EBB25C1"/>
    <w:rsid w:val="7EFBEFDD"/>
    <w:rsid w:val="7FC9669E"/>
    <w:rsid w:val="97BD0B1B"/>
    <w:rsid w:val="ADFFF933"/>
    <w:rsid w:val="B5EBAD7F"/>
    <w:rsid w:val="B7FE93CE"/>
    <w:rsid w:val="BCE704D8"/>
    <w:rsid w:val="BF8FAF16"/>
    <w:rsid w:val="CF34AB87"/>
    <w:rsid w:val="CFFFAFD7"/>
    <w:rsid w:val="D7DF2B83"/>
    <w:rsid w:val="DBBFDF01"/>
    <w:rsid w:val="E17F8CE5"/>
    <w:rsid w:val="E5FFA424"/>
    <w:rsid w:val="E7F22975"/>
    <w:rsid w:val="EFD7631B"/>
    <w:rsid w:val="F7BE689B"/>
    <w:rsid w:val="F7DFAC31"/>
    <w:rsid w:val="F8DDE269"/>
    <w:rsid w:val="FE58B98F"/>
    <w:rsid w:val="FF5F80B6"/>
    <w:rsid w:val="FFC50C5E"/>
    <w:rsid w:val="FFF12506"/>
    <w:rsid w:val="FFF7A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9"/>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7">
    <w:name w:val="Default Paragraph Font"/>
    <w:semiHidden/>
    <w:unhideWhenUsed/>
    <w:qFormat/>
    <w:uiPriority w:val="1"/>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kern w:val="0"/>
      <w:sz w:val="24"/>
    </w:rPr>
  </w:style>
  <w:style w:type="paragraph" w:customStyle="1" w:styleId="8">
    <w:name w:val="+正文"/>
    <w:basedOn w:val="1"/>
    <w:qFormat/>
    <w:uiPriority w:val="0"/>
    <w:pPr>
      <w:spacing w:line="360" w:lineRule="auto"/>
      <w:ind w:firstLine="200" w:firstLineChars="200"/>
    </w:pPr>
    <w:rPr>
      <w:sz w:val="24"/>
      <w:szCs w:val="28"/>
    </w:rPr>
  </w:style>
  <w:style w:type="character" w:customStyle="1" w:styleId="9">
    <w:name w:val="标题 1 字符"/>
    <w:basedOn w:val="7"/>
    <w:link w:val="2"/>
    <w:autoRedefine/>
    <w:qFormat/>
    <w:uiPriority w:val="9"/>
    <w:rPr>
      <w:rFonts w:ascii="Times New Roman" w:hAnsi="Times New Roman" w:eastAsia="方正小标宋简体"/>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3052</Words>
  <Characters>3140</Characters>
  <Lines>0</Lines>
  <Paragraphs>0</Paragraphs>
  <TotalTime>7</TotalTime>
  <ScaleCrop>false</ScaleCrop>
  <LinksUpToDate>false</LinksUpToDate>
  <CharactersWithSpaces>3208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2023-12-16T14:40:00Z</dcterms:created>
  <dc:creator>HY</dc:creator>
  <cp:lastModifiedBy>user</cp:lastModifiedBy>
  <cp:lastPrinted>2026-03-14T01:57:00Z</cp:lastPrinted>
  <dcterms:modified xsi:type="dcterms:W3CDTF">2026-03-18T10:35:55Z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BEEDD23C332167B7712DB26960041FD2_43</vt:lpwstr>
  </property>
  <property fmtid="{D5CDD505-2E9C-101B-9397-08002B2CF9AE}" pid="4" name="KSOTemplateDocerSaveRecord">
    <vt:lpwstr>eyJoZGlkIjoiYjY4MjgzNmVmYmQ5OThjNWZlOThjYzVkYjdkNWU4YWMiLCJ1c2VySWQiOiIxNjY0OTc3MjkxIn0=</vt:lpwstr>
  </property>
</Properties>
</file>