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w:t>
      </w:r>
      <w:r w:rsidR="004434F8">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EE53E6">
        <w:rPr>
          <w:rFonts w:ascii="方正小标宋简体" w:eastAsia="方正小标宋简体" w:hAnsi="宋体" w:hint="eastAsia"/>
          <w:color w:val="000000"/>
          <w:sz w:val="72"/>
          <w:szCs w:val="72"/>
        </w:rPr>
        <w:t>广汉市市场监督管理局</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w:t>
      </w:r>
      <w:r w:rsidR="004434F8">
        <w:rPr>
          <w:rFonts w:hint="eastAsia"/>
        </w:rPr>
        <w:t>1</w:t>
      </w:r>
      <w:r>
        <w:rPr>
          <w:rFonts w:hint="eastAsia"/>
        </w:rPr>
        <w:t>年</w:t>
      </w:r>
      <w:r w:rsidR="004434F8">
        <w:rPr>
          <w:rFonts w:hint="eastAsia"/>
        </w:rPr>
        <w:t>10</w:t>
      </w:r>
      <w:r>
        <w:rPr>
          <w:rFonts w:hint="eastAsia"/>
        </w:rPr>
        <w:t>月</w:t>
      </w:r>
      <w:r w:rsidR="004434F8">
        <w:rPr>
          <w:rFonts w:hint="eastAsia"/>
        </w:rPr>
        <w:t>20</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w:t>
      </w:r>
      <w:proofErr w:type="gramStart"/>
      <w:r w:rsidRPr="00833962">
        <w:rPr>
          <w:rFonts w:hint="eastAsia"/>
          <w:sz w:val="24"/>
        </w:rPr>
        <w:t>度部门</w:t>
      </w:r>
      <w:proofErr w:type="gramEnd"/>
      <w:r w:rsidRPr="00833962">
        <w:rPr>
          <w:rFonts w:hint="eastAsia"/>
          <w:sz w:val="24"/>
        </w:rPr>
        <w:t>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adjustRightInd w:val="0"/>
        <w:snapToGrid w:val="0"/>
        <w:spacing w:line="440" w:lineRule="exact"/>
        <w:ind w:firstLineChars="550" w:firstLine="1320"/>
        <w:jc w:val="left"/>
        <w:rPr>
          <w:rFonts w:ascii="仿宋" w:eastAsia="仿宋" w:hAnsi="仿宋"/>
          <w:color w:val="FF0000"/>
          <w:sz w:val="24"/>
        </w:rPr>
      </w:pPr>
      <w:r w:rsidRPr="00833962">
        <w:rPr>
          <w:rFonts w:ascii="仿宋" w:eastAsia="仿宋" w:hAnsi="仿宋"/>
          <w:color w:val="FF0000"/>
          <w:sz w:val="24"/>
        </w:rPr>
        <w:t>(注：</w:t>
      </w:r>
      <w:proofErr w:type="gramStart"/>
      <w:r w:rsidRPr="00833962">
        <w:rPr>
          <w:rFonts w:ascii="仿宋" w:eastAsia="仿宋" w:hAnsi="仿宋" w:hint="eastAsia"/>
          <w:color w:val="FF0000"/>
          <w:sz w:val="24"/>
        </w:rPr>
        <w:t>请部门</w:t>
      </w:r>
      <w:proofErr w:type="gramEnd"/>
      <w:r w:rsidRPr="00833962">
        <w:rPr>
          <w:rFonts w:ascii="仿宋" w:eastAsia="仿宋" w:hAnsi="仿宋" w:hint="eastAsia"/>
          <w:color w:val="FF0000"/>
          <w:sz w:val="24"/>
        </w:rPr>
        <w:t>根据实际注明页码</w:t>
      </w:r>
      <w:r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市市场监管局贯彻落实党中央关于市场监督管理工作的方针政策和省委、德阳市委、广汉市委的决策部署，在履行职责过程中坚持和加强党对市场监督管理工作的集中统一领导。主要职责是：</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一）负责市场综合监督管理工作。贯彻执行国家和省、市有关市场监督管理的法律法规，起草全市有关市场监督管理的规范性文件并组织实施。组织实施质量强市、食品安全、标准化和知识产权战略，拟订并组织实施全市质量提升、食品安全等有关规划，规范和维护市场秩序，营造诚实守信、公平竞争的市场环境。</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二）负责全市个体工商户登记注册。负责全市各类企业、农民专业合作社和从事经营活动的单位、个体工商户以及外国（地区）企业、常驻代表机构等市场主体的监督管理工作。建立市场主体信息公示和共享机制，依法公示和共享有关信息，加强信用监管，推动市场主体信用体系建设。</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（三）负责组织和指导全市市场监督管理综合执法工作。负责市场监管综合执法队伍整合和建设，推动实行统一的市</w:t>
      </w:r>
      <w:r w:rsidRPr="00CB3F0A">
        <w:rPr>
          <w:rFonts w:ascii="仿宋_GB2312" w:eastAsia="仿宋_GB2312" w:hAnsiTheme="minorEastAsia" w:hint="eastAsia"/>
          <w:sz w:val="32"/>
          <w:szCs w:val="32"/>
        </w:rPr>
        <w:lastRenderedPageBreak/>
        <w:t>场监管。组织查处相关违法案件。规范市场监督管理行政执法行为。</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四）负责全市反垄断统一执法。统筹推进竞争政策实施，指导实施公平竞争审查制度。依法依授权对经营者集中行为进行反垄断审查，负责垄断协议、滥用市场支配地位和滥用行政权力排除、限制竞争等反垄断执法工作。指导在广汉企业在国外的反垄断应诉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五）负责监督管理市场秩序。依法监督管理市场交易、网络商品交易及有关服务行为。组织指导查处价格收费违法违规、不正当竞争、违法直销、传销、侵犯商标专利知识产权和制售假冒伪劣行为。指导广告业发展，监督管理广告活动。依法查处无照生产经营和相关无证生产经营行为。</w:t>
      </w:r>
      <w:proofErr w:type="gramStart"/>
      <w:r w:rsidRPr="00CB3F0A">
        <w:rPr>
          <w:rFonts w:ascii="仿宋_GB2312" w:eastAsia="仿宋_GB2312" w:hAnsiTheme="minorEastAsia" w:hint="eastAsia"/>
          <w:sz w:val="32"/>
          <w:szCs w:val="32"/>
        </w:rPr>
        <w:t>指导市</w:t>
      </w:r>
      <w:proofErr w:type="gramEnd"/>
      <w:r w:rsidRPr="00CB3F0A">
        <w:rPr>
          <w:rFonts w:ascii="仿宋_GB2312" w:eastAsia="仿宋_GB2312" w:hAnsiTheme="minorEastAsia" w:hint="eastAsia"/>
          <w:sz w:val="32"/>
          <w:szCs w:val="32"/>
        </w:rPr>
        <w:t>保护消费者权益委员会开展消费维权工作。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六）负责全市宏观质量管理。拟订并组织实施质量发展的制度措施。统筹全市质量基础设施建设与应用。会同有关部门组织实施重大工程设备质量监理制度，组织重大产品质量事故调查，贯彻实施缺陷产品召回制度，监督管理产品防伪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（七）负责全市产品质量安全监督管理。负责产品质量监督抽查和风险监控工作，组织实施质量分级制度、质量安全追溯制度。负责工业产品生产许可管理。负责纤维质量监督工作。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（八）负责全市特种设备安全监督管理。综合管理特种</w:t>
      </w:r>
      <w:r w:rsidRPr="00CB3F0A">
        <w:rPr>
          <w:rFonts w:ascii="仿宋_GB2312" w:eastAsia="仿宋_GB2312" w:hAnsiTheme="minorEastAsia" w:hint="eastAsia"/>
          <w:sz w:val="32"/>
          <w:szCs w:val="32"/>
        </w:rPr>
        <w:lastRenderedPageBreak/>
        <w:t>设备安全监察、监督工作，监督检查高耗能特种设备节能标准和锅炉产品环境保护标准的执行情况。</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九）负责全市食品安全监督管理综合协调。统筹指导全市食品安全工作。负责食品安全应急体系建设，组织指导重大食品安全事件应急处置和调查处理工作。建立健全食品安全重要信息直报制度，承担市食品安全委员会日常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负责全市食品安全监督管理。建立覆盖食品生产、流通、消费全过程的监督检查制度和隐患排查治理机制并组织实施，防范区域性、系统性食品安全风险。推动建立食品生产经营者落实主体责任制，健全食品安全追溯体系。指导督促食品生产经营企业的安全生产工作，开展食品安全监督抽检、风险监测、核查处置和风险预警、风险交流工作。组织实施特殊食品监督管理。</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一）负责药品（含中药、民族药，下同）零售、医疗器械经营检查和处罚，以及化妆品经营和药品、医疗器械使用环节质量的安全监测、检查和处罚，监督实施药品和医疗器械经营、使用质量管理规范。参与省、市组织的监督检查。推动医药产业的结构调整和产业升级，促进医药产业创新发展。配合省、市做好药品、医疗器械和化妆品监督管理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（十二）负责管理全市计量工作。推行法定计量单位，执行国家计量制度，管理计量器具及量值传递和比对工作。规范、监督商品量和计量行为。</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lastRenderedPageBreak/>
        <w:t>（十三）负责管理全市标准化工作。协调指导各团体标准制定工作，依法对标准制定和实施情况开展监督。</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（十四）负责管理全市检验检测工作。规范检验检测市场，完善检验检测体系，指导协调检验检测行业发展。</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（十五）负责管理全市认证认可工作。监督管理认证认可和合格评定工作。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（十六）负责市场监督管理科技和信息化建设、新闻宣传。</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（十七）负责全市知识产权战略、规划的制定，负责知识产权的保护，组织指导商标、专利执法工作。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八）负责促进全市民营经济发展。负责全市民营经济发展工作的任务制定、调查研究、统筹协调、督促落实及民营企业合法权益维护。在市委组织部的指导下开展小微企业、个体工商户、专业市场的党建工作。</w:t>
      </w:r>
    </w:p>
    <w:p w:rsidR="00823A58" w:rsidRPr="00CB3F0A" w:rsidRDefault="00823A58" w:rsidP="00823A58">
      <w:pPr>
        <w:adjustRightInd w:val="0"/>
        <w:snapToGrid w:val="0"/>
        <w:spacing w:line="600" w:lineRule="exact"/>
        <w:ind w:firstLineChars="200" w:firstLine="640"/>
        <w:rPr>
          <w:rFonts w:ascii="仿宋_GB2312" w:eastAsia="仿宋_GB2312" w:hAnsiTheme="minorEastAsia"/>
          <w:sz w:val="32"/>
          <w:szCs w:val="32"/>
        </w:rPr>
      </w:pPr>
      <w:r w:rsidRPr="00CB3F0A">
        <w:rPr>
          <w:rFonts w:ascii="仿宋_GB2312" w:eastAsia="仿宋_GB2312" w:hAnsiTheme="minorEastAsia" w:hint="eastAsia"/>
          <w:sz w:val="32"/>
          <w:szCs w:val="32"/>
        </w:rPr>
        <w:t>（十九）负责职责范围内的安全生产和职业健康、生态环境保护、审批服务便民化等工作。</w:t>
      </w:r>
    </w:p>
    <w:p w:rsidR="00823A58" w:rsidRPr="00CB3F0A" w:rsidRDefault="00823A58" w:rsidP="00072C2D">
      <w:pPr>
        <w:adjustRightInd w:val="0"/>
        <w:snapToGrid w:val="0"/>
        <w:spacing w:line="600" w:lineRule="exact"/>
        <w:ind w:firstLineChars="200" w:firstLine="640"/>
        <w:rPr>
          <w:rFonts w:ascii="仿宋_GB2312" w:eastAsia="仿宋_GB2312"/>
          <w:sz w:val="32"/>
          <w:szCs w:val="32"/>
        </w:rPr>
      </w:pPr>
      <w:r w:rsidRPr="00CB3F0A">
        <w:rPr>
          <w:rFonts w:ascii="仿宋_GB2312" w:eastAsia="仿宋_GB2312" w:hAnsiTheme="minorEastAsia" w:hint="eastAsia"/>
          <w:sz w:val="32"/>
          <w:szCs w:val="32"/>
        </w:rPr>
        <w:t>（二十）按照本部门权责清单履行相关职责。</w:t>
      </w:r>
    </w:p>
    <w:p w:rsidR="005B5C64" w:rsidRPr="00CB3F0A" w:rsidRDefault="00204CDE">
      <w:pPr>
        <w:pStyle w:val="a3"/>
        <w:adjustRightInd w:val="0"/>
        <w:snapToGrid w:val="0"/>
        <w:spacing w:before="93" w:line="600" w:lineRule="exact"/>
        <w:ind w:firstLineChars="210" w:firstLine="672"/>
        <w:outlineLvl w:val="2"/>
        <w:rPr>
          <w:rFonts w:hAnsi="仿宋"/>
          <w:bCs/>
          <w:color w:val="000000"/>
          <w:sz w:val="32"/>
          <w:szCs w:val="32"/>
        </w:rPr>
      </w:pPr>
      <w:bookmarkStart w:id="18" w:name="_Toc15378446"/>
      <w:bookmarkStart w:id="19" w:name="_Toc15377199"/>
      <w:r w:rsidRPr="00CB3F0A">
        <w:rPr>
          <w:rFonts w:hAnsi="仿宋" w:hint="eastAsia"/>
          <w:bCs/>
          <w:color w:val="000000"/>
          <w:sz w:val="32"/>
          <w:szCs w:val="32"/>
        </w:rPr>
        <w:t>（二）20</w:t>
      </w:r>
      <w:r w:rsidR="004434F8">
        <w:rPr>
          <w:rFonts w:hAnsi="仿宋" w:hint="eastAsia"/>
          <w:bCs/>
          <w:color w:val="000000"/>
          <w:sz w:val="32"/>
          <w:szCs w:val="32"/>
        </w:rPr>
        <w:t>21</w:t>
      </w:r>
      <w:r w:rsidRPr="00CB3F0A">
        <w:rPr>
          <w:rFonts w:hAnsi="仿宋" w:hint="eastAsia"/>
          <w:bCs/>
          <w:color w:val="000000"/>
          <w:sz w:val="32"/>
          <w:szCs w:val="32"/>
        </w:rPr>
        <w:t>年重点工作完成情况。</w:t>
      </w:r>
      <w:bookmarkEnd w:id="18"/>
      <w:bookmarkEnd w:id="19"/>
    </w:p>
    <w:p w:rsidR="00072C2D" w:rsidRPr="00CB3F0A" w:rsidRDefault="00072C2D" w:rsidP="00072C2D">
      <w:pPr>
        <w:spacing w:line="600" w:lineRule="exact"/>
        <w:ind w:firstLine="640"/>
        <w:rPr>
          <w:rFonts w:ascii="仿宋_GB2312" w:eastAsia="仿宋_GB2312"/>
          <w:sz w:val="32"/>
          <w:szCs w:val="32"/>
          <w:u w:color="00FF00"/>
        </w:rPr>
      </w:pPr>
      <w:r w:rsidRPr="00CB3F0A">
        <w:rPr>
          <w:rFonts w:ascii="仿宋_GB2312" w:eastAsia="仿宋_GB2312" w:hint="eastAsia"/>
          <w:sz w:val="32"/>
          <w:szCs w:val="32"/>
          <w:u w:color="00FF00"/>
        </w:rPr>
        <w:t>大力实施</w:t>
      </w:r>
      <w:proofErr w:type="gramStart"/>
      <w:r w:rsidRPr="00CB3F0A">
        <w:rPr>
          <w:rFonts w:ascii="仿宋_GB2312" w:eastAsia="仿宋_GB2312" w:hint="eastAsia"/>
          <w:sz w:val="32"/>
          <w:szCs w:val="32"/>
          <w:u w:color="00FF00"/>
        </w:rPr>
        <w:t>品牌强</w:t>
      </w:r>
      <w:proofErr w:type="gramEnd"/>
      <w:r w:rsidRPr="00CB3F0A">
        <w:rPr>
          <w:rFonts w:ascii="仿宋_GB2312" w:eastAsia="仿宋_GB2312" w:hint="eastAsia"/>
          <w:sz w:val="32"/>
          <w:szCs w:val="32"/>
          <w:u w:color="00FF00"/>
        </w:rPr>
        <w:t>市战略，推动质量提升；积极支持民营经济健康发展；加强质量安全监管，切实维护人民群众身体健康和生命安全，为持续扩大消费提供保障；加大监管执法力度，营造公平竞争的市场环境。</w:t>
      </w:r>
    </w:p>
    <w:p w:rsidR="00072C2D" w:rsidRPr="00072C2D" w:rsidRDefault="00072C2D">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5B5C64" w:rsidRDefault="00204CDE">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5B5C64" w:rsidRPr="00CB3F0A" w:rsidRDefault="00072C2D">
      <w:pPr>
        <w:ind w:firstLineChars="250" w:firstLine="800"/>
        <w:rPr>
          <w:rFonts w:ascii="仿宋_GB2312" w:eastAsia="仿宋_GB2312" w:hAnsi="仿宋"/>
          <w:sz w:val="32"/>
          <w:szCs w:val="32"/>
        </w:rPr>
      </w:pPr>
      <w:r w:rsidRPr="00CB3F0A">
        <w:rPr>
          <w:rFonts w:ascii="仿宋_GB2312" w:eastAsia="仿宋_GB2312" w:hAnsi="仿宋" w:hint="eastAsia"/>
          <w:sz w:val="32"/>
          <w:szCs w:val="32"/>
        </w:rPr>
        <w:t>广汉市市场监督管理局</w:t>
      </w:r>
      <w:r w:rsidR="00204CDE" w:rsidRPr="00CB3F0A">
        <w:rPr>
          <w:rFonts w:ascii="仿宋_GB2312" w:eastAsia="仿宋_GB2312" w:hAnsi="仿宋" w:hint="eastAsia"/>
          <w:sz w:val="32"/>
          <w:szCs w:val="32"/>
        </w:rPr>
        <w:t>下属二级单位</w:t>
      </w:r>
      <w:r w:rsidRPr="00CB3F0A">
        <w:rPr>
          <w:rFonts w:ascii="仿宋_GB2312" w:eastAsia="仿宋_GB2312" w:hAnsi="仿宋" w:hint="eastAsia"/>
          <w:sz w:val="32"/>
          <w:szCs w:val="32"/>
        </w:rPr>
        <w:t>4</w:t>
      </w:r>
      <w:r w:rsidR="00204CDE" w:rsidRPr="00CB3F0A">
        <w:rPr>
          <w:rFonts w:ascii="仿宋_GB2312" w:eastAsia="仿宋_GB2312" w:hAnsi="仿宋" w:hint="eastAsia"/>
          <w:sz w:val="32"/>
          <w:szCs w:val="32"/>
        </w:rPr>
        <w:t>个，其中行政单位</w:t>
      </w:r>
      <w:r w:rsidRPr="00CB3F0A">
        <w:rPr>
          <w:rFonts w:ascii="仿宋_GB2312" w:eastAsia="仿宋_GB2312" w:hAnsi="仿宋" w:hint="eastAsia"/>
          <w:sz w:val="32"/>
          <w:szCs w:val="32"/>
        </w:rPr>
        <w:t>0</w:t>
      </w:r>
      <w:r w:rsidR="00204CDE" w:rsidRPr="00CB3F0A">
        <w:rPr>
          <w:rFonts w:ascii="仿宋_GB2312" w:eastAsia="仿宋_GB2312" w:hAnsi="仿宋" w:hint="eastAsia"/>
          <w:sz w:val="32"/>
          <w:szCs w:val="32"/>
        </w:rPr>
        <w:t>个，参照公务员法管理的事业单位</w:t>
      </w:r>
      <w:r w:rsidRPr="00CB3F0A">
        <w:rPr>
          <w:rFonts w:ascii="仿宋_GB2312" w:eastAsia="仿宋_GB2312" w:hAnsi="仿宋" w:hint="eastAsia"/>
          <w:bCs/>
          <w:sz w:val="32"/>
          <w:szCs w:val="32"/>
        </w:rPr>
        <w:t>1</w:t>
      </w:r>
      <w:r w:rsidR="00204CDE" w:rsidRPr="00CB3F0A">
        <w:rPr>
          <w:rFonts w:ascii="仿宋_GB2312" w:eastAsia="仿宋_GB2312" w:hAnsi="仿宋" w:hint="eastAsia"/>
          <w:sz w:val="32"/>
          <w:szCs w:val="32"/>
        </w:rPr>
        <w:t>个，其他事业单位</w:t>
      </w:r>
      <w:r w:rsidRPr="00CB3F0A">
        <w:rPr>
          <w:rFonts w:ascii="仿宋_GB2312" w:eastAsia="仿宋_GB2312" w:hAnsi="仿宋" w:hint="eastAsia"/>
          <w:sz w:val="32"/>
          <w:szCs w:val="32"/>
        </w:rPr>
        <w:t>3</w:t>
      </w:r>
      <w:r w:rsidR="00204CDE" w:rsidRPr="00CB3F0A">
        <w:rPr>
          <w:rFonts w:ascii="仿宋_GB2312" w:eastAsia="仿宋_GB2312" w:hAnsi="仿宋" w:hint="eastAsia"/>
          <w:sz w:val="32"/>
          <w:szCs w:val="32"/>
        </w:rPr>
        <w:t>个。</w:t>
      </w:r>
    </w:p>
    <w:p w:rsidR="005B5C64" w:rsidRPr="00CB3F0A" w:rsidRDefault="00204CDE">
      <w:pPr>
        <w:pStyle w:val="a3"/>
        <w:adjustRightInd w:val="0"/>
        <w:snapToGrid w:val="0"/>
        <w:spacing w:before="93" w:line="600" w:lineRule="exact"/>
        <w:ind w:firstLineChars="210" w:firstLine="672"/>
        <w:rPr>
          <w:rFonts w:hAnsi="仿宋"/>
          <w:color w:val="000000"/>
          <w:sz w:val="32"/>
          <w:szCs w:val="32"/>
        </w:rPr>
      </w:pPr>
      <w:r w:rsidRPr="00CB3F0A">
        <w:rPr>
          <w:rFonts w:hAnsi="仿宋" w:hint="eastAsia"/>
          <w:color w:val="000000"/>
          <w:sz w:val="32"/>
          <w:szCs w:val="32"/>
        </w:rPr>
        <w:t>纳入</w:t>
      </w:r>
      <w:r w:rsidR="00072C2D" w:rsidRPr="00CB3F0A">
        <w:rPr>
          <w:rFonts w:hAnsi="仿宋" w:hint="eastAsia"/>
          <w:sz w:val="32"/>
          <w:szCs w:val="32"/>
        </w:rPr>
        <w:t>广汉市市场监督管理局</w:t>
      </w:r>
      <w:r w:rsidR="004434F8">
        <w:rPr>
          <w:rFonts w:hAnsi="仿宋" w:hint="eastAsia"/>
          <w:color w:val="000000"/>
          <w:sz w:val="32"/>
          <w:szCs w:val="32"/>
        </w:rPr>
        <w:t>2020</w:t>
      </w:r>
      <w:r w:rsidRPr="00CB3F0A">
        <w:rPr>
          <w:rFonts w:hAnsi="仿宋" w:hint="eastAsia"/>
          <w:color w:val="000000"/>
          <w:sz w:val="32"/>
          <w:szCs w:val="32"/>
        </w:rPr>
        <w:t>年度部门决算编制范围的二级预算单位包括：</w:t>
      </w:r>
    </w:p>
    <w:p w:rsidR="005B5C64" w:rsidRPr="00CB3F0A" w:rsidRDefault="00072C2D">
      <w:pPr>
        <w:pStyle w:val="a3"/>
        <w:numPr>
          <w:ilvl w:val="0"/>
          <w:numId w:val="1"/>
        </w:numPr>
        <w:adjustRightInd w:val="0"/>
        <w:snapToGrid w:val="0"/>
        <w:spacing w:before="93" w:line="600" w:lineRule="exact"/>
        <w:outlineLvl w:val="2"/>
        <w:rPr>
          <w:rFonts w:hAnsi="仿宋"/>
          <w:color w:val="000000"/>
          <w:sz w:val="32"/>
          <w:szCs w:val="32"/>
        </w:rPr>
      </w:pPr>
      <w:r w:rsidRPr="00CB3F0A">
        <w:rPr>
          <w:rFonts w:hAnsi="仿宋" w:hint="eastAsia"/>
          <w:color w:val="000000"/>
          <w:sz w:val="32"/>
          <w:szCs w:val="32"/>
        </w:rPr>
        <w:t>广汉市保护消费者权益委员会</w:t>
      </w:r>
      <w:r w:rsidR="00621117" w:rsidRPr="00CB3F0A">
        <w:rPr>
          <w:rFonts w:hAnsi="仿宋" w:hint="eastAsia"/>
          <w:color w:val="000000"/>
          <w:sz w:val="32"/>
          <w:szCs w:val="32"/>
        </w:rPr>
        <w:t>秘书组</w:t>
      </w:r>
    </w:p>
    <w:p w:rsidR="005B5C64" w:rsidRPr="00CB3F0A" w:rsidRDefault="00072C2D">
      <w:pPr>
        <w:pStyle w:val="a3"/>
        <w:numPr>
          <w:ilvl w:val="0"/>
          <w:numId w:val="1"/>
        </w:numPr>
        <w:adjustRightInd w:val="0"/>
        <w:snapToGrid w:val="0"/>
        <w:spacing w:before="93" w:line="600" w:lineRule="exact"/>
        <w:outlineLvl w:val="2"/>
        <w:rPr>
          <w:rFonts w:hAnsi="仿宋"/>
          <w:color w:val="000000"/>
          <w:sz w:val="32"/>
          <w:szCs w:val="32"/>
        </w:rPr>
      </w:pPr>
      <w:r w:rsidRPr="00CB3F0A">
        <w:rPr>
          <w:rFonts w:hAnsi="仿宋" w:hint="eastAsia"/>
          <w:color w:val="000000"/>
          <w:sz w:val="32"/>
          <w:szCs w:val="32"/>
        </w:rPr>
        <w:t>广汉市民营经济</w:t>
      </w:r>
      <w:r w:rsidR="00621117" w:rsidRPr="00CB3F0A">
        <w:rPr>
          <w:rFonts w:hAnsi="仿宋" w:hint="eastAsia"/>
          <w:color w:val="000000"/>
          <w:sz w:val="32"/>
          <w:szCs w:val="32"/>
        </w:rPr>
        <w:t>指导服务</w:t>
      </w:r>
      <w:r w:rsidRPr="00CB3F0A">
        <w:rPr>
          <w:rFonts w:hAnsi="仿宋" w:hint="eastAsia"/>
          <w:color w:val="000000"/>
          <w:sz w:val="32"/>
          <w:szCs w:val="32"/>
        </w:rPr>
        <w:t>中心</w:t>
      </w:r>
    </w:p>
    <w:p w:rsidR="005B5C64" w:rsidRPr="00CB3F0A" w:rsidRDefault="00072C2D">
      <w:pPr>
        <w:pStyle w:val="a3"/>
        <w:numPr>
          <w:ilvl w:val="0"/>
          <w:numId w:val="1"/>
        </w:numPr>
        <w:adjustRightInd w:val="0"/>
        <w:snapToGrid w:val="0"/>
        <w:spacing w:before="93" w:line="600" w:lineRule="exact"/>
        <w:outlineLvl w:val="2"/>
        <w:rPr>
          <w:rFonts w:hAnsi="仿宋"/>
          <w:color w:val="000000"/>
          <w:sz w:val="32"/>
          <w:szCs w:val="32"/>
        </w:rPr>
      </w:pPr>
      <w:r w:rsidRPr="00CB3F0A">
        <w:rPr>
          <w:rFonts w:hAnsi="仿宋" w:hint="eastAsia"/>
          <w:color w:val="000000"/>
          <w:sz w:val="32"/>
          <w:szCs w:val="32"/>
        </w:rPr>
        <w:t>广汉市药械</w:t>
      </w:r>
      <w:proofErr w:type="gramStart"/>
      <w:r w:rsidRPr="00CB3F0A">
        <w:rPr>
          <w:rFonts w:hAnsi="仿宋" w:hint="eastAsia"/>
          <w:color w:val="000000"/>
          <w:sz w:val="32"/>
          <w:szCs w:val="32"/>
        </w:rPr>
        <w:t>保化品不良反应</w:t>
      </w:r>
      <w:proofErr w:type="gramEnd"/>
      <w:r w:rsidR="00621117" w:rsidRPr="00CB3F0A">
        <w:rPr>
          <w:rFonts w:hAnsi="仿宋" w:hint="eastAsia"/>
          <w:color w:val="000000"/>
          <w:sz w:val="32"/>
          <w:szCs w:val="32"/>
        </w:rPr>
        <w:t>监测</w:t>
      </w:r>
      <w:r w:rsidRPr="00CB3F0A">
        <w:rPr>
          <w:rFonts w:hAnsi="仿宋" w:hint="eastAsia"/>
          <w:color w:val="000000"/>
          <w:sz w:val="32"/>
          <w:szCs w:val="32"/>
        </w:rPr>
        <w:t>中心</w:t>
      </w:r>
    </w:p>
    <w:p w:rsidR="005B5C64" w:rsidRPr="00CB3F0A" w:rsidRDefault="00072C2D" w:rsidP="00072C2D">
      <w:pPr>
        <w:pStyle w:val="a3"/>
        <w:adjustRightInd w:val="0"/>
        <w:snapToGrid w:val="0"/>
        <w:spacing w:before="93" w:line="600" w:lineRule="exact"/>
        <w:ind w:firstLineChars="200" w:firstLine="640"/>
        <w:rPr>
          <w:rFonts w:hAnsi="仿宋"/>
          <w:color w:val="000000"/>
          <w:sz w:val="32"/>
          <w:szCs w:val="32"/>
        </w:rPr>
      </w:pPr>
      <w:r w:rsidRPr="00CB3F0A">
        <w:rPr>
          <w:rFonts w:hAnsi="仿宋" w:hint="eastAsia"/>
          <w:color w:val="000000"/>
          <w:sz w:val="32"/>
          <w:szCs w:val="32"/>
        </w:rPr>
        <w:t>4．广汉市</w:t>
      </w:r>
      <w:r w:rsidR="00621117" w:rsidRPr="00CB3F0A">
        <w:rPr>
          <w:rFonts w:hAnsi="仿宋" w:hint="eastAsia"/>
          <w:color w:val="000000"/>
          <w:sz w:val="32"/>
          <w:szCs w:val="32"/>
        </w:rPr>
        <w:t>食品药品</w:t>
      </w:r>
      <w:r w:rsidRPr="00CB3F0A">
        <w:rPr>
          <w:rFonts w:hAnsi="仿宋" w:hint="eastAsia"/>
          <w:color w:val="000000"/>
          <w:sz w:val="32"/>
          <w:szCs w:val="32"/>
        </w:rPr>
        <w:t>稽查大队</w:t>
      </w:r>
    </w:p>
    <w:p w:rsidR="005B5C64" w:rsidRPr="00CB3F0A" w:rsidRDefault="00204CDE">
      <w:pPr>
        <w:widowControl/>
        <w:jc w:val="left"/>
        <w:rPr>
          <w:rFonts w:ascii="仿宋_GB2312" w:eastAsia="仿宋_GB2312" w:hAnsi="仿宋"/>
          <w:color w:val="000000"/>
          <w:kern w:val="0"/>
          <w:sz w:val="32"/>
          <w:szCs w:val="32"/>
        </w:rPr>
      </w:pPr>
      <w:r w:rsidRPr="00CB3F0A">
        <w:rPr>
          <w:rFonts w:ascii="仿宋_GB2312" w:eastAsia="仿宋_GB2312" w:hAnsi="仿宋" w:hint="eastAsia"/>
          <w:color w:val="000000"/>
          <w:sz w:val="32"/>
          <w:szCs w:val="32"/>
        </w:rPr>
        <w:br w:type="page"/>
      </w:r>
    </w:p>
    <w:p w:rsidR="005B5C64" w:rsidRDefault="00204CDE">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w:t>
      </w:r>
      <w:r w:rsidR="004434F8">
        <w:rPr>
          <w:rStyle w:val="1Char"/>
          <w:rFonts w:ascii="黑体" w:eastAsia="黑体" w:hAnsi="黑体" w:hint="eastAsia"/>
        </w:rPr>
        <w:t>20</w:t>
      </w:r>
      <w:r>
        <w:rPr>
          <w:rStyle w:val="1Char"/>
          <w:rFonts w:ascii="黑体" w:eastAsia="黑体" w:hAnsi="黑体" w:hint="eastAsia"/>
        </w:rPr>
        <w:t>年度部门决算情况说明</w:t>
      </w:r>
      <w:bookmarkEnd w:id="22"/>
      <w:bookmarkEnd w:id="23"/>
    </w:p>
    <w:p w:rsidR="005B5C64" w:rsidRDefault="005B5C64"/>
    <w:p w:rsidR="005B5C64" w:rsidRDefault="00204CDE" w:rsidP="009F541C">
      <w:pPr>
        <w:pStyle w:val="a9"/>
        <w:numPr>
          <w:ilvl w:val="0"/>
          <w:numId w:val="2"/>
        </w:numPr>
        <w:spacing w:beforeLines="30" w:before="93"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9F541C" w:rsidRDefault="00204CDE" w:rsidP="009F541C">
      <w:pPr>
        <w:pStyle w:val="Char3"/>
        <w:spacing w:before="0" w:beforeAutospacing="0"/>
        <w:ind w:firstLineChars="200" w:firstLine="640"/>
        <w:rPr>
          <w:rFonts w:ascii="仿宋_GB2312" w:eastAsia="仿宋_GB2312" w:hAnsiTheme="minorEastAsia"/>
          <w:sz w:val="32"/>
          <w:szCs w:val="32"/>
        </w:rPr>
      </w:pPr>
      <w:r w:rsidRPr="009F541C">
        <w:rPr>
          <w:rFonts w:ascii="仿宋_GB2312" w:eastAsia="仿宋_GB2312" w:hAnsi="仿宋" w:hint="eastAsia"/>
          <w:sz w:val="32"/>
          <w:szCs w:val="32"/>
        </w:rPr>
        <w:t>20</w:t>
      </w:r>
      <w:r w:rsidR="004434F8">
        <w:rPr>
          <w:rFonts w:ascii="仿宋_GB2312" w:eastAsia="仿宋_GB2312" w:hAnsi="仿宋" w:hint="eastAsia"/>
          <w:sz w:val="32"/>
          <w:szCs w:val="32"/>
        </w:rPr>
        <w:t>20</w:t>
      </w:r>
      <w:r w:rsidRPr="009F541C">
        <w:rPr>
          <w:rFonts w:ascii="仿宋_GB2312" w:eastAsia="仿宋_GB2312" w:hAnsi="仿宋" w:hint="eastAsia"/>
          <w:sz w:val="32"/>
          <w:szCs w:val="32"/>
        </w:rPr>
        <w:t>年度收</w:t>
      </w:r>
      <w:r w:rsidR="009F541C" w:rsidRPr="009F541C">
        <w:rPr>
          <w:rFonts w:ascii="仿宋_GB2312" w:eastAsia="仿宋_GB2312" w:hAnsi="仿宋" w:hint="eastAsia"/>
          <w:sz w:val="32"/>
          <w:szCs w:val="32"/>
        </w:rPr>
        <w:t>入</w:t>
      </w:r>
      <w:r w:rsidRPr="009F541C">
        <w:rPr>
          <w:rFonts w:ascii="仿宋_GB2312" w:eastAsia="仿宋_GB2312" w:hAnsi="仿宋" w:hint="eastAsia"/>
          <w:sz w:val="32"/>
          <w:szCs w:val="32"/>
        </w:rPr>
        <w:t>总计</w:t>
      </w:r>
      <w:r w:rsidR="00634F79">
        <w:rPr>
          <w:rFonts w:ascii="仿宋_GB2312" w:eastAsia="仿宋_GB2312" w:hAnsi="仿宋" w:hint="eastAsia"/>
          <w:sz w:val="32"/>
          <w:szCs w:val="32"/>
        </w:rPr>
        <w:t>4410.6</w:t>
      </w:r>
      <w:r w:rsidR="009F541C" w:rsidRPr="009F541C">
        <w:rPr>
          <w:rFonts w:ascii="仿宋_GB2312" w:eastAsia="仿宋_GB2312" w:hAnsi="仿宋" w:hint="eastAsia"/>
          <w:sz w:val="32"/>
          <w:szCs w:val="32"/>
        </w:rPr>
        <w:t>万元，其中</w:t>
      </w:r>
      <w:r w:rsidR="009F541C" w:rsidRPr="009F541C">
        <w:rPr>
          <w:rFonts w:ascii="仿宋_GB2312" w:eastAsia="仿宋_GB2312" w:hAnsiTheme="minorEastAsia" w:hint="eastAsia"/>
          <w:sz w:val="32"/>
          <w:szCs w:val="32"/>
        </w:rPr>
        <w:t>一般公共财政拨款本年收入</w:t>
      </w:r>
      <w:r w:rsidR="00634F79">
        <w:rPr>
          <w:rFonts w:ascii="仿宋_GB2312" w:eastAsia="仿宋_GB2312" w:hAnsiTheme="minorEastAsia" w:hint="eastAsia"/>
          <w:sz w:val="32"/>
          <w:szCs w:val="32"/>
        </w:rPr>
        <w:t>4144.8</w:t>
      </w:r>
      <w:r w:rsidR="009F541C" w:rsidRPr="009F541C">
        <w:rPr>
          <w:rFonts w:ascii="仿宋_GB2312" w:eastAsia="仿宋_GB2312" w:hAnsiTheme="minorEastAsia" w:hint="eastAsia"/>
          <w:sz w:val="32"/>
          <w:szCs w:val="32"/>
        </w:rPr>
        <w:t>万元</w:t>
      </w:r>
      <w:bookmarkStart w:id="26" w:name="GS030301009"/>
      <w:bookmarkEnd w:id="26"/>
      <w:r w:rsidR="009F541C" w:rsidRPr="009F541C">
        <w:rPr>
          <w:rFonts w:ascii="仿宋_GB2312" w:eastAsia="仿宋_GB2312" w:hAnsiTheme="minorEastAsia" w:hint="eastAsia"/>
          <w:sz w:val="32"/>
          <w:szCs w:val="32"/>
        </w:rPr>
        <w:t>。</w:t>
      </w:r>
    </w:p>
    <w:p w:rsidR="009F541C" w:rsidRPr="009F541C" w:rsidRDefault="009F541C" w:rsidP="009F541C">
      <w:pPr>
        <w:pStyle w:val="Char3"/>
        <w:spacing w:before="0" w:beforeAutospacing="0"/>
        <w:ind w:firstLineChars="200" w:firstLine="640"/>
        <w:rPr>
          <w:rFonts w:ascii="仿宋_GB2312" w:eastAsia="仿宋_GB2312" w:hAnsiTheme="minorEastAsia"/>
          <w:sz w:val="32"/>
          <w:szCs w:val="32"/>
        </w:rPr>
      </w:pPr>
      <w:r w:rsidRPr="009F541C">
        <w:rPr>
          <w:rFonts w:ascii="仿宋_GB2312" w:eastAsia="仿宋_GB2312" w:hAnsiTheme="minorEastAsia" w:hint="eastAsia"/>
          <w:sz w:val="32"/>
          <w:szCs w:val="32"/>
        </w:rPr>
        <w:t>20</w:t>
      </w:r>
      <w:r w:rsidR="00634F79">
        <w:rPr>
          <w:rFonts w:ascii="仿宋_GB2312" w:eastAsia="仿宋_GB2312" w:hAnsiTheme="minorEastAsia" w:hint="eastAsia"/>
          <w:sz w:val="32"/>
          <w:szCs w:val="32"/>
        </w:rPr>
        <w:t>20</w:t>
      </w:r>
      <w:r w:rsidRPr="009F541C">
        <w:rPr>
          <w:rFonts w:ascii="仿宋_GB2312" w:eastAsia="仿宋_GB2312" w:hAnsiTheme="minorEastAsia" w:hint="eastAsia"/>
          <w:sz w:val="32"/>
          <w:szCs w:val="32"/>
        </w:rPr>
        <w:t xml:space="preserve">年度总支出 </w:t>
      </w:r>
      <w:r w:rsidR="00F30C74">
        <w:rPr>
          <w:rFonts w:ascii="仿宋_GB2312" w:eastAsia="仿宋_GB2312" w:hAnsiTheme="minorEastAsia" w:hint="eastAsia"/>
          <w:sz w:val="32"/>
          <w:szCs w:val="32"/>
        </w:rPr>
        <w:t>4410.6</w:t>
      </w:r>
      <w:r w:rsidRPr="009F541C">
        <w:rPr>
          <w:rFonts w:ascii="仿宋_GB2312" w:eastAsia="仿宋_GB2312" w:hAnsiTheme="minorEastAsia" w:hint="eastAsia"/>
          <w:sz w:val="32"/>
          <w:szCs w:val="32"/>
        </w:rPr>
        <w:t>万元，其中一般公共财政拨款本年支出</w:t>
      </w:r>
      <w:r w:rsidR="00634F79">
        <w:rPr>
          <w:rFonts w:ascii="仿宋_GB2312" w:eastAsia="仿宋_GB2312" w:hAnsiTheme="minorEastAsia" w:hint="eastAsia"/>
          <w:sz w:val="32"/>
          <w:szCs w:val="32"/>
        </w:rPr>
        <w:t>4215.45</w:t>
      </w:r>
      <w:r w:rsidRPr="009F541C">
        <w:rPr>
          <w:rFonts w:ascii="仿宋_GB2312" w:eastAsia="仿宋_GB2312" w:hAnsiTheme="minorEastAsia" w:hint="eastAsia"/>
          <w:sz w:val="32"/>
          <w:szCs w:val="32"/>
        </w:rPr>
        <w:t>万元</w:t>
      </w:r>
      <w:r w:rsidRPr="009F541C">
        <w:rPr>
          <w:rFonts w:ascii="仿宋_GB2312" w:eastAsia="仿宋_GB2312" w:cs="Arial" w:hint="eastAsia"/>
          <w:sz w:val="32"/>
          <w:szCs w:val="32"/>
        </w:rPr>
        <w:t>。</w:t>
      </w:r>
    </w:p>
    <w:p w:rsidR="009F541C" w:rsidRPr="009F541C" w:rsidRDefault="009F541C" w:rsidP="009F541C">
      <w:pPr>
        <w:pStyle w:val="Char3"/>
        <w:spacing w:before="0" w:beforeAutospacing="0"/>
        <w:ind w:firstLineChars="200" w:firstLine="640"/>
        <w:rPr>
          <w:rFonts w:ascii="黑体" w:eastAsia="黑体" w:hAnsi="黑体"/>
          <w:sz w:val="32"/>
          <w:szCs w:val="32"/>
        </w:rPr>
      </w:pPr>
      <w:r w:rsidRPr="009F541C">
        <w:rPr>
          <w:rFonts w:ascii="黑体" w:eastAsia="黑体" w:hAnsi="黑体" w:hint="eastAsia"/>
          <w:sz w:val="32"/>
          <w:szCs w:val="32"/>
        </w:rPr>
        <w:t>收入决算情况说明</w:t>
      </w:r>
      <w:r w:rsidRPr="009F541C">
        <w:rPr>
          <w:rFonts w:ascii="黑体" w:eastAsia="黑体" w:hAnsi="黑体" w:hint="eastAsia"/>
          <w:sz w:val="32"/>
          <w:szCs w:val="32"/>
        </w:rPr>
        <w:tab/>
      </w:r>
      <w:r w:rsidRPr="009F541C">
        <w:rPr>
          <w:rFonts w:ascii="黑体" w:eastAsia="黑体" w:hAnsi="黑体" w:hint="eastAsia"/>
          <w:sz w:val="32"/>
          <w:szCs w:val="32"/>
        </w:rPr>
        <w:tab/>
      </w:r>
    </w:p>
    <w:p w:rsidR="009F541C" w:rsidRPr="009F541C" w:rsidRDefault="009F541C" w:rsidP="009F541C">
      <w:pPr>
        <w:pStyle w:val="a9"/>
        <w:spacing w:after="100" w:afterAutospacing="1"/>
        <w:ind w:firstLine="640"/>
        <w:rPr>
          <w:rFonts w:ascii="仿宋_GB2312" w:eastAsia="仿宋_GB2312" w:cs="Arial"/>
          <w:sz w:val="32"/>
          <w:szCs w:val="32"/>
        </w:rPr>
      </w:pPr>
      <w:r w:rsidRPr="009F541C">
        <w:rPr>
          <w:rFonts w:ascii="仿宋_GB2312" w:eastAsia="仿宋_GB2312" w:hint="eastAsia"/>
          <w:sz w:val="32"/>
          <w:szCs w:val="32"/>
        </w:rPr>
        <w:t>本年收入合计</w:t>
      </w:r>
      <w:r w:rsidR="00634F79">
        <w:rPr>
          <w:rFonts w:ascii="仿宋_GB2312" w:eastAsia="仿宋_GB2312" w:hint="eastAsia"/>
          <w:sz w:val="32"/>
          <w:szCs w:val="32"/>
        </w:rPr>
        <w:t>4150.87</w:t>
      </w:r>
      <w:r w:rsidRPr="009F541C">
        <w:rPr>
          <w:rFonts w:ascii="仿宋_GB2312" w:eastAsia="仿宋_GB2312" w:hAnsiTheme="minorEastAsia" w:hint="eastAsia"/>
          <w:sz w:val="32"/>
          <w:szCs w:val="32"/>
        </w:rPr>
        <w:t>万元</w:t>
      </w:r>
      <w:r w:rsidRPr="009F541C">
        <w:rPr>
          <w:rFonts w:ascii="仿宋_GB2312" w:eastAsia="仿宋_GB2312" w:cs="Arial" w:hint="eastAsia"/>
          <w:sz w:val="32"/>
          <w:szCs w:val="32"/>
        </w:rPr>
        <w:t>。具体情况如下：</w:t>
      </w:r>
    </w:p>
    <w:p w:rsidR="009F541C" w:rsidRPr="009F541C" w:rsidRDefault="009F541C" w:rsidP="009F541C">
      <w:pPr>
        <w:pStyle w:val="a9"/>
        <w:spacing w:after="100" w:afterAutospacing="1"/>
        <w:ind w:firstLine="640"/>
        <w:rPr>
          <w:rFonts w:ascii="仿宋_GB2312" w:eastAsia="仿宋_GB2312" w:cs="Arial"/>
          <w:sz w:val="32"/>
          <w:szCs w:val="32"/>
        </w:rPr>
      </w:pPr>
      <w:r w:rsidRPr="009F541C">
        <w:rPr>
          <w:rFonts w:ascii="仿宋_GB2312" w:eastAsia="仿宋_GB2312" w:cs="Arial" w:hint="eastAsia"/>
          <w:sz w:val="32"/>
          <w:szCs w:val="32"/>
        </w:rPr>
        <w:t xml:space="preserve">1、财政拨款收入 </w:t>
      </w:r>
      <w:r w:rsidR="00634F79">
        <w:rPr>
          <w:rFonts w:ascii="仿宋_GB2312" w:eastAsia="仿宋_GB2312" w:cs="Arial" w:hint="eastAsia"/>
          <w:sz w:val="32"/>
          <w:szCs w:val="32"/>
        </w:rPr>
        <w:t>4144.8</w:t>
      </w:r>
      <w:r w:rsidRPr="009F541C">
        <w:rPr>
          <w:rFonts w:ascii="仿宋_GB2312" w:eastAsia="仿宋_GB2312" w:cs="Arial" w:hint="eastAsia"/>
          <w:sz w:val="32"/>
          <w:szCs w:val="32"/>
        </w:rPr>
        <w:t xml:space="preserve">万元，占收入合计 99.9%。 </w:t>
      </w:r>
    </w:p>
    <w:p w:rsidR="005B5C64" w:rsidRPr="009F541C" w:rsidRDefault="009F541C" w:rsidP="009F541C">
      <w:pPr>
        <w:pStyle w:val="a9"/>
        <w:spacing w:after="100" w:afterAutospacing="1"/>
        <w:ind w:firstLine="640"/>
        <w:rPr>
          <w:rFonts w:ascii="仿宋_GB2312" w:eastAsia="仿宋_GB2312" w:cs="Arial"/>
          <w:sz w:val="32"/>
          <w:szCs w:val="32"/>
        </w:rPr>
      </w:pPr>
      <w:r w:rsidRPr="009F541C">
        <w:rPr>
          <w:rFonts w:ascii="仿宋_GB2312" w:eastAsia="仿宋_GB2312" w:cs="Arial" w:hint="eastAsia"/>
          <w:sz w:val="32"/>
          <w:szCs w:val="32"/>
        </w:rPr>
        <w:t>2、其他收入 6.</w:t>
      </w:r>
      <w:r w:rsidR="00634F79">
        <w:rPr>
          <w:rFonts w:ascii="仿宋_GB2312" w:eastAsia="仿宋_GB2312" w:cs="Arial" w:hint="eastAsia"/>
          <w:sz w:val="32"/>
          <w:szCs w:val="32"/>
        </w:rPr>
        <w:t>07</w:t>
      </w:r>
      <w:r w:rsidRPr="009F541C">
        <w:rPr>
          <w:rFonts w:ascii="仿宋_GB2312" w:eastAsia="仿宋_GB2312" w:cs="Arial" w:hint="eastAsia"/>
          <w:sz w:val="32"/>
          <w:szCs w:val="32"/>
        </w:rPr>
        <w:t>万元，占收入合计 0.1%。</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7" w:name="_Toc15377207"/>
      <w:bookmarkStart w:id="28"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7"/>
      <w:bookmarkEnd w:id="28"/>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sidR="00634F79">
        <w:rPr>
          <w:rFonts w:ascii="仿宋" w:eastAsia="仿宋" w:hAnsi="仿宋" w:hint="eastAsia"/>
          <w:color w:val="000000"/>
          <w:sz w:val="32"/>
          <w:szCs w:val="32"/>
        </w:rPr>
        <w:t>20</w:t>
      </w:r>
      <w:r>
        <w:rPr>
          <w:rFonts w:ascii="仿宋" w:eastAsia="仿宋" w:hAnsi="仿宋" w:hint="eastAsia"/>
          <w:color w:val="000000"/>
          <w:sz w:val="32"/>
          <w:szCs w:val="32"/>
        </w:rPr>
        <w:t>年本年支出合计</w:t>
      </w:r>
      <w:r w:rsidR="00634F79">
        <w:rPr>
          <w:rFonts w:ascii="仿宋" w:eastAsia="仿宋" w:hAnsi="仿宋" w:hint="eastAsia"/>
          <w:color w:val="000000"/>
          <w:sz w:val="32"/>
          <w:szCs w:val="32"/>
        </w:rPr>
        <w:t>4260.89</w:t>
      </w:r>
      <w:r>
        <w:rPr>
          <w:rFonts w:ascii="仿宋" w:eastAsia="仿宋" w:hAnsi="仿宋" w:hint="eastAsia"/>
          <w:color w:val="000000"/>
          <w:sz w:val="32"/>
          <w:szCs w:val="32"/>
        </w:rPr>
        <w:t>万元，其中：基本支出</w:t>
      </w:r>
      <w:r w:rsidR="00634F79">
        <w:rPr>
          <w:rFonts w:ascii="仿宋" w:eastAsia="仿宋" w:hAnsi="仿宋" w:hint="eastAsia"/>
          <w:color w:val="000000"/>
          <w:sz w:val="32"/>
          <w:szCs w:val="32"/>
        </w:rPr>
        <w:t>3515.12</w:t>
      </w:r>
      <w:r>
        <w:rPr>
          <w:rFonts w:ascii="仿宋" w:eastAsia="仿宋" w:hAnsi="仿宋" w:hint="eastAsia"/>
          <w:color w:val="000000"/>
          <w:sz w:val="32"/>
          <w:szCs w:val="32"/>
        </w:rPr>
        <w:t>万元，占</w:t>
      </w:r>
      <w:r w:rsidR="009F541C">
        <w:rPr>
          <w:rFonts w:ascii="仿宋" w:eastAsia="仿宋" w:hAnsi="仿宋" w:hint="eastAsia"/>
          <w:color w:val="000000"/>
          <w:sz w:val="32"/>
          <w:szCs w:val="32"/>
        </w:rPr>
        <w:t>8</w:t>
      </w:r>
      <w:r w:rsidR="00634F79">
        <w:rPr>
          <w:rFonts w:ascii="仿宋" w:eastAsia="仿宋" w:hAnsi="仿宋" w:hint="eastAsia"/>
          <w:color w:val="000000"/>
          <w:sz w:val="32"/>
          <w:szCs w:val="32"/>
        </w:rPr>
        <w:t>2.5</w:t>
      </w:r>
      <w:r>
        <w:rPr>
          <w:rFonts w:ascii="仿宋" w:eastAsia="仿宋" w:hAnsi="仿宋"/>
          <w:color w:val="000000"/>
          <w:sz w:val="32"/>
          <w:szCs w:val="32"/>
        </w:rPr>
        <w:t>%</w:t>
      </w:r>
      <w:r>
        <w:rPr>
          <w:rFonts w:ascii="仿宋" w:eastAsia="仿宋" w:hAnsi="仿宋" w:hint="eastAsia"/>
          <w:color w:val="000000"/>
          <w:sz w:val="32"/>
          <w:szCs w:val="32"/>
        </w:rPr>
        <w:t>；项目支出</w:t>
      </w:r>
      <w:r w:rsidR="00634F79">
        <w:rPr>
          <w:rFonts w:ascii="仿宋" w:eastAsia="仿宋" w:hAnsi="仿宋" w:hint="eastAsia"/>
          <w:color w:val="000000"/>
          <w:sz w:val="32"/>
          <w:szCs w:val="32"/>
        </w:rPr>
        <w:t>745.78</w:t>
      </w:r>
      <w:r>
        <w:rPr>
          <w:rFonts w:ascii="仿宋" w:eastAsia="仿宋" w:hAnsi="仿宋" w:hint="eastAsia"/>
          <w:color w:val="000000"/>
          <w:sz w:val="32"/>
          <w:szCs w:val="32"/>
        </w:rPr>
        <w:t>万元，占</w:t>
      </w:r>
      <w:r w:rsidR="009F541C">
        <w:rPr>
          <w:rFonts w:ascii="仿宋" w:eastAsia="仿宋" w:hAnsi="仿宋" w:hint="eastAsia"/>
          <w:color w:val="000000"/>
          <w:sz w:val="32"/>
          <w:szCs w:val="32"/>
        </w:rPr>
        <w:t>1</w:t>
      </w:r>
      <w:r w:rsidR="00634F79">
        <w:rPr>
          <w:rFonts w:ascii="仿宋" w:eastAsia="仿宋" w:hAnsi="仿宋" w:hint="eastAsia"/>
          <w:color w:val="000000"/>
          <w:sz w:val="32"/>
          <w:szCs w:val="32"/>
        </w:rPr>
        <w:t>7</w:t>
      </w:r>
      <w:r w:rsidR="009F541C">
        <w:rPr>
          <w:rFonts w:ascii="仿宋" w:eastAsia="仿宋" w:hAnsi="仿宋" w:hint="eastAsia"/>
          <w:color w:val="000000"/>
          <w:sz w:val="32"/>
          <w:szCs w:val="32"/>
        </w:rPr>
        <w:t>.</w:t>
      </w:r>
      <w:r w:rsidR="00634F79">
        <w:rPr>
          <w:rFonts w:ascii="仿宋" w:eastAsia="仿宋" w:hAnsi="仿宋" w:hint="eastAsia"/>
          <w:color w:val="000000"/>
          <w:sz w:val="32"/>
          <w:szCs w:val="32"/>
        </w:rPr>
        <w:t>5</w:t>
      </w:r>
      <w:r>
        <w:rPr>
          <w:rFonts w:ascii="仿宋" w:eastAsia="仿宋" w:hAnsi="仿宋"/>
          <w:color w:val="000000"/>
          <w:sz w:val="32"/>
          <w:szCs w:val="32"/>
        </w:rPr>
        <w:t>%</w:t>
      </w:r>
      <w:r>
        <w:rPr>
          <w:rFonts w:ascii="仿宋" w:eastAsia="仿宋" w:hAnsi="仿宋" w:hint="eastAsia"/>
          <w:color w:val="000000"/>
          <w:sz w:val="32"/>
          <w:szCs w:val="32"/>
        </w:rPr>
        <w:t>；</w:t>
      </w:r>
      <w:r w:rsidR="009F541C" w:rsidRPr="00C30E69">
        <w:rPr>
          <w:rFonts w:ascii="仿宋" w:eastAsia="仿宋" w:hAnsi="仿宋"/>
          <w:color w:val="000000"/>
          <w:sz w:val="32"/>
          <w:szCs w:val="32"/>
        </w:rPr>
        <w:t xml:space="preserve"> </w:t>
      </w:r>
    </w:p>
    <w:p w:rsidR="005B5C64" w:rsidRDefault="005B5C64">
      <w:pPr>
        <w:spacing w:line="600" w:lineRule="exact"/>
        <w:ind w:firstLineChars="200" w:firstLine="640"/>
        <w:rPr>
          <w:rFonts w:ascii="仿宋_GB2312" w:eastAsia="仿宋_GB2312"/>
          <w:color w:val="FF0000"/>
          <w:sz w:val="32"/>
          <w:szCs w:val="32"/>
        </w:rPr>
      </w:pPr>
    </w:p>
    <w:p w:rsidR="005B5C64" w:rsidRDefault="00B9797E">
      <w:pPr>
        <w:spacing w:line="600" w:lineRule="exact"/>
        <w:ind w:firstLineChars="200" w:firstLine="640"/>
        <w:outlineLvl w:val="1"/>
        <w:rPr>
          <w:rStyle w:val="2Char"/>
          <w:rFonts w:ascii="黑体" w:eastAsia="黑体" w:hAnsi="黑体"/>
          <w:b w:val="0"/>
        </w:rPr>
      </w:pPr>
      <w:bookmarkStart w:id="29" w:name="_Toc15377208"/>
      <w:bookmarkStart w:id="30" w:name="_Toc15396606"/>
      <w:r>
        <w:rPr>
          <w:rFonts w:ascii="黑体" w:eastAsia="黑体" w:hAnsi="黑体" w:hint="eastAsia"/>
          <w:color w:val="000000"/>
          <w:sz w:val="32"/>
          <w:szCs w:val="32"/>
        </w:rPr>
        <w:t>三</w:t>
      </w:r>
      <w:r w:rsidR="00204CDE">
        <w:rPr>
          <w:rFonts w:ascii="黑体" w:eastAsia="黑体" w:hAnsi="黑体" w:hint="eastAsia"/>
          <w:color w:val="000000"/>
          <w:sz w:val="32"/>
          <w:szCs w:val="32"/>
        </w:rPr>
        <w:t>、财</w:t>
      </w:r>
      <w:r w:rsidR="00204CDE">
        <w:rPr>
          <w:rStyle w:val="2Char"/>
          <w:rFonts w:ascii="黑体" w:eastAsia="黑体" w:hAnsi="黑体" w:hint="eastAsia"/>
          <w:b w:val="0"/>
        </w:rPr>
        <w:t>政拨款收入支出决算总体情况说明</w:t>
      </w:r>
      <w:bookmarkEnd w:id="29"/>
      <w:bookmarkEnd w:id="30"/>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sidR="00634F79">
        <w:rPr>
          <w:rFonts w:ascii="仿宋" w:eastAsia="仿宋" w:hAnsi="仿宋" w:hint="eastAsia"/>
          <w:color w:val="000000"/>
          <w:sz w:val="32"/>
          <w:szCs w:val="32"/>
        </w:rPr>
        <w:t>20</w:t>
      </w:r>
      <w:r>
        <w:rPr>
          <w:rFonts w:ascii="仿宋" w:eastAsia="仿宋" w:hAnsi="仿宋" w:hint="eastAsia"/>
          <w:color w:val="000000"/>
          <w:sz w:val="32"/>
          <w:szCs w:val="32"/>
        </w:rPr>
        <w:t>年财政拨款收</w:t>
      </w:r>
      <w:r w:rsidR="00B9797E">
        <w:rPr>
          <w:rFonts w:ascii="仿宋" w:eastAsia="仿宋" w:hAnsi="仿宋" w:hint="eastAsia"/>
          <w:color w:val="000000"/>
          <w:sz w:val="32"/>
          <w:szCs w:val="32"/>
        </w:rPr>
        <w:t>入</w:t>
      </w:r>
      <w:r>
        <w:rPr>
          <w:rFonts w:ascii="仿宋" w:eastAsia="仿宋" w:hAnsi="仿宋" w:hint="eastAsia"/>
          <w:color w:val="000000"/>
          <w:sz w:val="32"/>
          <w:szCs w:val="32"/>
        </w:rPr>
        <w:t>总计</w:t>
      </w:r>
      <w:r w:rsidR="00634F79">
        <w:rPr>
          <w:rFonts w:ascii="仿宋" w:eastAsia="仿宋" w:hAnsi="仿宋" w:hint="eastAsia"/>
          <w:color w:val="000000"/>
          <w:sz w:val="32"/>
          <w:szCs w:val="32"/>
        </w:rPr>
        <w:t>4363.13</w:t>
      </w:r>
      <w:r>
        <w:rPr>
          <w:rFonts w:ascii="仿宋" w:eastAsia="仿宋" w:hAnsi="仿宋" w:hint="eastAsia"/>
          <w:color w:val="000000"/>
          <w:sz w:val="32"/>
          <w:szCs w:val="32"/>
        </w:rPr>
        <w:t>万元。</w:t>
      </w:r>
      <w:r w:rsidR="00B9797E">
        <w:rPr>
          <w:rFonts w:ascii="仿宋" w:eastAsia="仿宋" w:hAnsi="仿宋"/>
          <w:color w:val="000000"/>
          <w:sz w:val="32"/>
          <w:szCs w:val="32"/>
        </w:rPr>
        <w:t>20</w:t>
      </w:r>
      <w:r w:rsidR="00F30C74">
        <w:rPr>
          <w:rFonts w:ascii="仿宋" w:eastAsia="仿宋" w:hAnsi="仿宋" w:hint="eastAsia"/>
          <w:color w:val="000000"/>
          <w:sz w:val="32"/>
          <w:szCs w:val="32"/>
        </w:rPr>
        <w:t>20</w:t>
      </w:r>
      <w:r w:rsidR="00B9797E">
        <w:rPr>
          <w:rFonts w:ascii="仿宋" w:eastAsia="仿宋" w:hAnsi="仿宋" w:hint="eastAsia"/>
          <w:color w:val="000000"/>
          <w:sz w:val="32"/>
          <w:szCs w:val="32"/>
        </w:rPr>
        <w:t>年财政拨款支出总计</w:t>
      </w:r>
      <w:r w:rsidR="00634F79">
        <w:rPr>
          <w:rFonts w:ascii="仿宋" w:eastAsia="仿宋" w:hAnsi="仿宋" w:hint="eastAsia"/>
          <w:color w:val="000000"/>
          <w:sz w:val="32"/>
          <w:szCs w:val="32"/>
        </w:rPr>
        <w:t>4363.13</w:t>
      </w:r>
      <w:r w:rsidR="00B9797E">
        <w:rPr>
          <w:rFonts w:ascii="仿宋" w:eastAsia="仿宋" w:hAnsi="仿宋" w:hint="eastAsia"/>
          <w:color w:val="000000"/>
          <w:sz w:val="32"/>
          <w:szCs w:val="32"/>
        </w:rPr>
        <w:t>万元。</w:t>
      </w:r>
    </w:p>
    <w:p w:rsidR="00416CD4" w:rsidRDefault="00416CD4">
      <w:pPr>
        <w:spacing w:line="600" w:lineRule="exact"/>
        <w:rPr>
          <w:rFonts w:ascii="仿宋" w:eastAsia="仿宋" w:hAnsi="仿宋"/>
          <w:color w:val="000000"/>
          <w:sz w:val="32"/>
          <w:szCs w:val="32"/>
        </w:rPr>
      </w:pPr>
    </w:p>
    <w:p w:rsidR="005B5C64" w:rsidRDefault="005B5C64">
      <w:pPr>
        <w:spacing w:line="600" w:lineRule="exact"/>
        <w:ind w:firstLine="640"/>
        <w:rPr>
          <w:rFonts w:ascii="仿宋" w:eastAsia="仿宋" w:hAnsi="仿宋"/>
          <w:b/>
          <w:color w:val="00B050"/>
          <w:sz w:val="32"/>
          <w:szCs w:val="32"/>
        </w:rPr>
      </w:pPr>
    </w:p>
    <w:p w:rsidR="005B5C64" w:rsidRDefault="00B9797E">
      <w:pPr>
        <w:spacing w:line="600" w:lineRule="exact"/>
        <w:ind w:firstLineChars="200" w:firstLine="640"/>
        <w:outlineLvl w:val="1"/>
        <w:rPr>
          <w:rStyle w:val="2Char"/>
          <w:rFonts w:ascii="黑体" w:eastAsia="黑体" w:hAnsi="黑体"/>
          <w:b w:val="0"/>
        </w:rPr>
      </w:pPr>
      <w:bookmarkStart w:id="31" w:name="_Toc15377209"/>
      <w:bookmarkStart w:id="32" w:name="_Toc15396607"/>
      <w:r>
        <w:rPr>
          <w:rFonts w:ascii="黑体" w:eastAsia="黑体" w:hAnsi="黑体" w:hint="eastAsia"/>
          <w:color w:val="000000"/>
          <w:sz w:val="32"/>
          <w:szCs w:val="32"/>
        </w:rPr>
        <w:t>四</w:t>
      </w:r>
      <w:r w:rsidR="00204CDE">
        <w:rPr>
          <w:rFonts w:ascii="黑体" w:eastAsia="黑体" w:hAnsi="黑体" w:hint="eastAsia"/>
          <w:color w:val="000000"/>
          <w:sz w:val="32"/>
          <w:szCs w:val="32"/>
        </w:rPr>
        <w:t>、</w:t>
      </w:r>
      <w:r w:rsidR="00204CDE">
        <w:rPr>
          <w:rFonts w:ascii="黑体" w:eastAsia="黑体" w:hAnsi="黑体" w:hint="eastAsia"/>
          <w:b/>
          <w:color w:val="000000"/>
          <w:sz w:val="32"/>
          <w:szCs w:val="32"/>
        </w:rPr>
        <w:t>一</w:t>
      </w:r>
      <w:r w:rsidR="00204CDE">
        <w:rPr>
          <w:rStyle w:val="2Char"/>
          <w:rFonts w:ascii="黑体" w:eastAsia="黑体" w:hAnsi="黑体" w:hint="eastAsia"/>
          <w:b w:val="0"/>
        </w:rPr>
        <w:t>般公共预算财政拨款支出决算情况说明</w:t>
      </w:r>
      <w:bookmarkEnd w:id="31"/>
      <w:bookmarkEnd w:id="32"/>
    </w:p>
    <w:p w:rsidR="005B5C64" w:rsidRDefault="00204CDE">
      <w:pPr>
        <w:spacing w:line="600" w:lineRule="exact"/>
        <w:ind w:firstLineChars="200" w:firstLine="643"/>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rsidR="005B5C64" w:rsidRDefault="00204CDE" w:rsidP="00B9797E">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w:t>
      </w:r>
      <w:r w:rsidR="001A5244">
        <w:rPr>
          <w:rFonts w:ascii="仿宋" w:eastAsia="仿宋" w:hAnsi="仿宋" w:hint="eastAsia"/>
          <w:color w:val="000000"/>
          <w:sz w:val="32"/>
          <w:szCs w:val="32"/>
        </w:rPr>
        <w:t>20</w:t>
      </w:r>
      <w:r>
        <w:rPr>
          <w:rFonts w:ascii="仿宋" w:eastAsia="仿宋" w:hAnsi="仿宋" w:hint="eastAsia"/>
          <w:color w:val="000000"/>
          <w:sz w:val="32"/>
          <w:szCs w:val="32"/>
        </w:rPr>
        <w:t>年一般公共预算财政拨款支出</w:t>
      </w:r>
      <w:r w:rsidR="001A5244">
        <w:rPr>
          <w:rFonts w:ascii="仿宋" w:eastAsia="仿宋" w:hAnsi="仿宋" w:hint="eastAsia"/>
          <w:color w:val="000000"/>
          <w:sz w:val="32"/>
          <w:szCs w:val="32"/>
        </w:rPr>
        <w:t>4215.45</w:t>
      </w:r>
      <w:r>
        <w:rPr>
          <w:rFonts w:ascii="仿宋" w:eastAsia="仿宋" w:hAnsi="仿宋" w:hint="eastAsia"/>
          <w:color w:val="000000"/>
          <w:sz w:val="32"/>
          <w:szCs w:val="32"/>
        </w:rPr>
        <w:t>万元，占本年支出合计的</w:t>
      </w:r>
      <w:r w:rsidR="001A5244">
        <w:rPr>
          <w:rFonts w:ascii="仿宋" w:eastAsia="仿宋" w:hAnsi="仿宋" w:hint="eastAsia"/>
          <w:color w:val="000000"/>
          <w:sz w:val="32"/>
          <w:szCs w:val="32"/>
        </w:rPr>
        <w:t>98.93</w:t>
      </w:r>
      <w:r>
        <w:rPr>
          <w:rFonts w:ascii="仿宋" w:eastAsia="仿宋" w:hAnsi="仿宋"/>
          <w:color w:val="000000"/>
          <w:sz w:val="32"/>
          <w:szCs w:val="32"/>
        </w:rPr>
        <w:t>%</w:t>
      </w:r>
      <w:r>
        <w:rPr>
          <w:rFonts w:ascii="仿宋" w:eastAsia="仿宋" w:hAnsi="仿宋" w:hint="eastAsia"/>
          <w:color w:val="000000"/>
          <w:sz w:val="32"/>
          <w:szCs w:val="32"/>
        </w:rPr>
        <w:t>。</w:t>
      </w:r>
      <w:r w:rsidR="00B9797E">
        <w:rPr>
          <w:rFonts w:ascii="仿宋" w:eastAsia="仿宋" w:hAnsi="仿宋" w:hint="eastAsia"/>
          <w:color w:val="000000"/>
          <w:sz w:val="32"/>
          <w:szCs w:val="32"/>
        </w:rPr>
        <w:t>其中：基本支出</w:t>
      </w:r>
      <w:r w:rsidR="001A5244">
        <w:rPr>
          <w:rFonts w:ascii="仿宋" w:eastAsia="仿宋" w:hAnsi="仿宋" w:hint="eastAsia"/>
          <w:color w:val="000000"/>
          <w:sz w:val="32"/>
          <w:szCs w:val="32"/>
        </w:rPr>
        <w:t>3504.3</w:t>
      </w:r>
      <w:r w:rsidR="00B9797E">
        <w:rPr>
          <w:rFonts w:ascii="仿宋" w:eastAsia="仿宋" w:hAnsi="仿宋" w:hint="eastAsia"/>
          <w:color w:val="000000"/>
          <w:sz w:val="32"/>
          <w:szCs w:val="32"/>
        </w:rPr>
        <w:t>万元，项目支出</w:t>
      </w:r>
      <w:r w:rsidR="001A5244">
        <w:rPr>
          <w:rFonts w:ascii="仿宋" w:eastAsia="仿宋" w:hAnsi="仿宋" w:hint="eastAsia"/>
          <w:color w:val="000000"/>
          <w:sz w:val="32"/>
          <w:szCs w:val="32"/>
        </w:rPr>
        <w:t>711.15</w:t>
      </w:r>
      <w:r w:rsidR="00B9797E">
        <w:rPr>
          <w:rFonts w:ascii="仿宋" w:eastAsia="仿宋" w:hAnsi="仿宋" w:hint="eastAsia"/>
          <w:color w:val="000000"/>
          <w:sz w:val="32"/>
          <w:szCs w:val="32"/>
        </w:rPr>
        <w:t>万元。</w:t>
      </w:r>
    </w:p>
    <w:p w:rsidR="00A733B2" w:rsidRDefault="00A733B2">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B9797E" w:rsidRPr="00B9797E" w:rsidRDefault="00B9797E" w:rsidP="00B9797E">
      <w:pPr>
        <w:pStyle w:val="Char3"/>
        <w:ind w:firstLineChars="200" w:firstLine="640"/>
        <w:rPr>
          <w:rFonts w:ascii="仿宋_GB2312" w:eastAsia="仿宋_GB2312" w:hAnsiTheme="minorEastAsia"/>
          <w:sz w:val="32"/>
          <w:szCs w:val="28"/>
        </w:rPr>
      </w:pPr>
      <w:r w:rsidRPr="00B9797E">
        <w:rPr>
          <w:rFonts w:ascii="仿宋_GB2312" w:eastAsia="仿宋_GB2312" w:cs="Arial" w:hint="eastAsia"/>
          <w:sz w:val="32"/>
          <w:szCs w:val="28"/>
        </w:rPr>
        <w:t>2</w:t>
      </w:r>
      <w:r w:rsidR="006A3217">
        <w:rPr>
          <w:rFonts w:ascii="仿宋_GB2312" w:eastAsia="仿宋_GB2312" w:cs="Arial" w:hint="eastAsia"/>
          <w:sz w:val="32"/>
          <w:szCs w:val="28"/>
        </w:rPr>
        <w:t>020</w:t>
      </w:r>
      <w:r w:rsidRPr="00B9797E">
        <w:rPr>
          <w:rFonts w:ascii="仿宋_GB2312" w:eastAsia="仿宋_GB2312" w:hAnsiTheme="minorEastAsia" w:hint="eastAsia"/>
          <w:sz w:val="32"/>
          <w:szCs w:val="28"/>
        </w:rPr>
        <w:t xml:space="preserve">年度一般公共预算财政拨款基本支出 </w:t>
      </w:r>
      <w:r w:rsidR="006A3217">
        <w:rPr>
          <w:rFonts w:ascii="仿宋_GB2312" w:eastAsia="仿宋_GB2312" w:hAnsiTheme="minorEastAsia" w:hint="eastAsia"/>
          <w:sz w:val="32"/>
          <w:szCs w:val="28"/>
        </w:rPr>
        <w:t>3504.3</w:t>
      </w:r>
      <w:r w:rsidRPr="00B9797E">
        <w:rPr>
          <w:rFonts w:ascii="仿宋_GB2312" w:eastAsia="仿宋_GB2312" w:hAnsiTheme="minorEastAsia" w:hint="eastAsia"/>
          <w:sz w:val="32"/>
          <w:szCs w:val="28"/>
        </w:rPr>
        <w:t>万元，其中：</w:t>
      </w:r>
    </w:p>
    <w:p w:rsidR="00B9797E" w:rsidRPr="00B9797E" w:rsidRDefault="00B9797E" w:rsidP="00B9797E">
      <w:pPr>
        <w:pStyle w:val="Char3"/>
        <w:ind w:firstLineChars="200" w:firstLine="640"/>
        <w:rPr>
          <w:rFonts w:ascii="仿宋_GB2312" w:eastAsia="仿宋_GB2312" w:hAnsiTheme="minorEastAsia"/>
          <w:sz w:val="32"/>
          <w:szCs w:val="28"/>
        </w:rPr>
      </w:pPr>
      <w:r w:rsidRPr="00B9797E">
        <w:rPr>
          <w:rFonts w:ascii="仿宋_GB2312" w:eastAsia="仿宋_GB2312" w:hAnsiTheme="minorEastAsia" w:hint="eastAsia"/>
          <w:sz w:val="32"/>
          <w:szCs w:val="28"/>
        </w:rPr>
        <w:t xml:space="preserve">人员经费 </w:t>
      </w:r>
      <w:r w:rsidR="006A3217">
        <w:rPr>
          <w:rFonts w:ascii="仿宋_GB2312" w:eastAsia="仿宋_GB2312" w:hAnsiTheme="minorEastAsia" w:hint="eastAsia"/>
          <w:sz w:val="32"/>
          <w:szCs w:val="28"/>
        </w:rPr>
        <w:t>3119.22</w:t>
      </w:r>
      <w:r w:rsidRPr="00B9797E">
        <w:rPr>
          <w:rFonts w:ascii="仿宋_GB2312" w:eastAsia="仿宋_GB2312" w:hAnsiTheme="minorEastAsia" w:hint="eastAsia"/>
          <w:sz w:val="32"/>
          <w:szCs w:val="28"/>
        </w:rPr>
        <w:t>万元，主要包括：</w:t>
      </w:r>
      <w:bookmarkStart w:id="35" w:name="GS030306003"/>
      <w:bookmarkEnd w:id="35"/>
      <w:r w:rsidRPr="00B9797E">
        <w:rPr>
          <w:rFonts w:ascii="仿宋_GB2312" w:eastAsia="仿宋_GB2312" w:hAnsiTheme="minorEastAsia" w:hint="eastAsia"/>
          <w:sz w:val="32"/>
          <w:szCs w:val="28"/>
        </w:rPr>
        <w:t xml:space="preserve"> 基本工资:6</w:t>
      </w:r>
      <w:r w:rsidR="006A3217">
        <w:rPr>
          <w:rFonts w:ascii="仿宋_GB2312" w:eastAsia="仿宋_GB2312" w:hAnsiTheme="minorEastAsia" w:hint="eastAsia"/>
          <w:sz w:val="32"/>
          <w:szCs w:val="28"/>
        </w:rPr>
        <w:t>32.65</w:t>
      </w:r>
      <w:r w:rsidRPr="00B9797E">
        <w:rPr>
          <w:rFonts w:ascii="仿宋_GB2312" w:eastAsia="仿宋_GB2312" w:hAnsiTheme="minorEastAsia" w:hint="eastAsia"/>
          <w:sz w:val="32"/>
          <w:szCs w:val="28"/>
        </w:rPr>
        <w:t>万元 、津贴补贴:</w:t>
      </w:r>
      <w:r w:rsidR="006A3217">
        <w:rPr>
          <w:rFonts w:ascii="仿宋_GB2312" w:eastAsia="仿宋_GB2312" w:hAnsiTheme="minorEastAsia" w:hint="eastAsia"/>
          <w:sz w:val="32"/>
          <w:szCs w:val="28"/>
        </w:rPr>
        <w:t>400.83</w:t>
      </w:r>
      <w:r w:rsidRPr="00B9797E">
        <w:rPr>
          <w:rFonts w:ascii="仿宋_GB2312" w:eastAsia="仿宋_GB2312" w:hAnsiTheme="minorEastAsia" w:hint="eastAsia"/>
          <w:sz w:val="32"/>
          <w:szCs w:val="28"/>
        </w:rPr>
        <w:t>万元 、奖金:1,</w:t>
      </w:r>
      <w:r w:rsidR="006A3217">
        <w:rPr>
          <w:rFonts w:ascii="仿宋_GB2312" w:eastAsia="仿宋_GB2312" w:hAnsiTheme="minorEastAsia" w:hint="eastAsia"/>
          <w:sz w:val="32"/>
          <w:szCs w:val="28"/>
        </w:rPr>
        <w:t>042.89</w:t>
      </w:r>
      <w:r w:rsidRPr="00B9797E">
        <w:rPr>
          <w:rFonts w:ascii="仿宋_GB2312" w:eastAsia="仿宋_GB2312" w:hAnsiTheme="minorEastAsia" w:hint="eastAsia"/>
          <w:sz w:val="32"/>
          <w:szCs w:val="28"/>
        </w:rPr>
        <w:t>万元 、</w:t>
      </w:r>
      <w:r w:rsidR="006A3217">
        <w:rPr>
          <w:rFonts w:ascii="仿宋_GB2312" w:eastAsia="仿宋_GB2312" w:hAnsiTheme="minorEastAsia" w:hint="eastAsia"/>
          <w:sz w:val="32"/>
          <w:szCs w:val="28"/>
        </w:rPr>
        <w:t>绩效工资：87.99、</w:t>
      </w:r>
      <w:r w:rsidRPr="00B9797E">
        <w:rPr>
          <w:rFonts w:ascii="仿宋_GB2312" w:eastAsia="仿宋_GB2312" w:hAnsiTheme="minorEastAsia" w:hint="eastAsia"/>
          <w:sz w:val="32"/>
          <w:szCs w:val="28"/>
        </w:rPr>
        <w:t>机关事业单位基本养老保险缴费:</w:t>
      </w:r>
      <w:r w:rsidR="006A3217">
        <w:rPr>
          <w:rFonts w:ascii="仿宋_GB2312" w:eastAsia="仿宋_GB2312" w:hAnsiTheme="minorEastAsia" w:hint="eastAsia"/>
          <w:sz w:val="32"/>
          <w:szCs w:val="28"/>
        </w:rPr>
        <w:t>174.31</w:t>
      </w:r>
      <w:r w:rsidRPr="00B9797E">
        <w:rPr>
          <w:rFonts w:ascii="仿宋_GB2312" w:eastAsia="仿宋_GB2312" w:hAnsiTheme="minorEastAsia" w:hint="eastAsia"/>
          <w:sz w:val="32"/>
          <w:szCs w:val="28"/>
        </w:rPr>
        <w:t>万元 、职业年金缴费</w:t>
      </w:r>
      <w:r w:rsidR="006A3217">
        <w:rPr>
          <w:rFonts w:ascii="仿宋_GB2312" w:eastAsia="仿宋_GB2312" w:hAnsiTheme="minorEastAsia" w:hint="eastAsia"/>
          <w:sz w:val="32"/>
          <w:szCs w:val="28"/>
        </w:rPr>
        <w:t>:85.03</w:t>
      </w:r>
      <w:r w:rsidRPr="00B9797E">
        <w:rPr>
          <w:rFonts w:ascii="仿宋_GB2312" w:eastAsia="仿宋_GB2312" w:hAnsiTheme="minorEastAsia" w:hint="eastAsia"/>
          <w:sz w:val="32"/>
          <w:szCs w:val="28"/>
        </w:rPr>
        <w:t>万元 、职工基本医疗保险缴费:84.58万元 、</w:t>
      </w:r>
      <w:r w:rsidR="006A3217">
        <w:rPr>
          <w:rFonts w:ascii="仿宋_GB2312" w:eastAsia="仿宋_GB2312" w:hAnsiTheme="minorEastAsia" w:hint="eastAsia"/>
          <w:sz w:val="32"/>
          <w:szCs w:val="28"/>
        </w:rPr>
        <w:t>公务员医疗补助</w:t>
      </w:r>
      <w:r w:rsidRPr="00B9797E">
        <w:rPr>
          <w:rFonts w:ascii="仿宋_GB2312" w:eastAsia="仿宋_GB2312" w:hAnsiTheme="minorEastAsia" w:hint="eastAsia"/>
          <w:sz w:val="32"/>
          <w:szCs w:val="28"/>
        </w:rPr>
        <w:t>:</w:t>
      </w:r>
      <w:r w:rsidR="006A3217">
        <w:rPr>
          <w:rFonts w:ascii="仿宋_GB2312" w:eastAsia="仿宋_GB2312" w:hAnsiTheme="minorEastAsia" w:hint="eastAsia"/>
          <w:sz w:val="32"/>
          <w:szCs w:val="28"/>
        </w:rPr>
        <w:t>3.07</w:t>
      </w:r>
      <w:r w:rsidRPr="00B9797E">
        <w:rPr>
          <w:rFonts w:ascii="仿宋_GB2312" w:eastAsia="仿宋_GB2312" w:hAnsiTheme="minorEastAsia" w:hint="eastAsia"/>
          <w:sz w:val="32"/>
          <w:szCs w:val="28"/>
        </w:rPr>
        <w:t>万元 、住房公积金:2</w:t>
      </w:r>
      <w:r w:rsidR="006A3217">
        <w:rPr>
          <w:rFonts w:ascii="仿宋_GB2312" w:eastAsia="仿宋_GB2312" w:hAnsiTheme="minorEastAsia" w:hint="eastAsia"/>
          <w:sz w:val="32"/>
          <w:szCs w:val="28"/>
        </w:rPr>
        <w:t>53.23</w:t>
      </w:r>
      <w:r w:rsidRPr="00B9797E">
        <w:rPr>
          <w:rFonts w:ascii="仿宋_GB2312" w:eastAsia="仿宋_GB2312" w:hAnsiTheme="minorEastAsia" w:hint="eastAsia"/>
          <w:sz w:val="32"/>
          <w:szCs w:val="28"/>
        </w:rPr>
        <w:t>万元 、其他工资福利支出</w:t>
      </w:r>
      <w:r>
        <w:rPr>
          <w:rFonts w:ascii="仿宋_GB2312" w:eastAsia="仿宋_GB2312" w:hAnsiTheme="minorEastAsia" w:hint="eastAsia"/>
          <w:sz w:val="32"/>
          <w:szCs w:val="28"/>
        </w:rPr>
        <w:t>:1</w:t>
      </w:r>
      <w:r w:rsidR="006A3217">
        <w:rPr>
          <w:rFonts w:ascii="仿宋_GB2312" w:eastAsia="仿宋_GB2312" w:hAnsiTheme="minorEastAsia" w:hint="eastAsia"/>
          <w:sz w:val="32"/>
          <w:szCs w:val="28"/>
        </w:rPr>
        <w:t>28.57</w:t>
      </w:r>
      <w:r w:rsidRPr="00B9797E">
        <w:rPr>
          <w:rFonts w:ascii="仿宋_GB2312" w:eastAsia="仿宋_GB2312" w:hAnsiTheme="minorEastAsia" w:hint="eastAsia"/>
          <w:sz w:val="32"/>
          <w:szCs w:val="28"/>
        </w:rPr>
        <w:t xml:space="preserve">万元 </w:t>
      </w:r>
      <w:r w:rsidR="00B8167A">
        <w:rPr>
          <w:rFonts w:ascii="仿宋_GB2312" w:eastAsia="仿宋_GB2312" w:hAnsiTheme="minorEastAsia" w:hint="eastAsia"/>
          <w:sz w:val="32"/>
          <w:szCs w:val="28"/>
        </w:rPr>
        <w:t>、离休费10.78万元、退休费2.17万元、抚恤金74.61万元、生活补助138.04万元。</w:t>
      </w:r>
    </w:p>
    <w:p w:rsidR="00675626" w:rsidRPr="00D52895" w:rsidRDefault="00B9797E" w:rsidP="00675626">
      <w:pPr>
        <w:pStyle w:val="Char3"/>
        <w:ind w:firstLineChars="200" w:firstLine="640"/>
        <w:rPr>
          <w:rFonts w:ascii="仿宋_GB2312" w:eastAsia="仿宋_GB2312" w:hAnsiTheme="minorEastAsia"/>
          <w:sz w:val="32"/>
          <w:szCs w:val="28"/>
        </w:rPr>
      </w:pPr>
      <w:r w:rsidRPr="00B9797E">
        <w:rPr>
          <w:rFonts w:ascii="仿宋_GB2312" w:eastAsia="仿宋_GB2312" w:hAnsiTheme="minorEastAsia" w:hint="eastAsia"/>
          <w:sz w:val="32"/>
          <w:szCs w:val="28"/>
        </w:rPr>
        <w:t>日常公用经费</w:t>
      </w:r>
      <w:r w:rsidR="00675626">
        <w:rPr>
          <w:rFonts w:ascii="仿宋_GB2312" w:eastAsia="仿宋_GB2312" w:hAnsiTheme="minorEastAsia" w:hint="eastAsia"/>
          <w:sz w:val="32"/>
          <w:szCs w:val="28"/>
        </w:rPr>
        <w:t>385.09</w:t>
      </w:r>
      <w:r w:rsidRPr="00B9797E">
        <w:rPr>
          <w:rFonts w:ascii="仿宋_GB2312" w:eastAsia="仿宋_GB2312" w:hAnsiTheme="minorEastAsia" w:hint="eastAsia"/>
          <w:sz w:val="32"/>
          <w:szCs w:val="28"/>
        </w:rPr>
        <w:t>万元，主要包括：</w:t>
      </w:r>
      <w:bookmarkStart w:id="36" w:name="GS030306004"/>
      <w:bookmarkEnd w:id="36"/>
      <w:r w:rsidRPr="00B9797E">
        <w:rPr>
          <w:rFonts w:ascii="仿宋_GB2312" w:eastAsia="仿宋_GB2312" w:hAnsiTheme="minorEastAsia" w:hint="eastAsia"/>
          <w:sz w:val="32"/>
          <w:szCs w:val="28"/>
        </w:rPr>
        <w:t xml:space="preserve"> </w:t>
      </w:r>
      <w:r w:rsidR="006A3217" w:rsidRPr="00B9797E">
        <w:rPr>
          <w:rFonts w:ascii="仿宋_GB2312" w:eastAsia="仿宋_GB2312" w:hAnsiTheme="minorEastAsia" w:hint="eastAsia"/>
          <w:sz w:val="32"/>
          <w:szCs w:val="28"/>
        </w:rPr>
        <w:t>办公费:</w:t>
      </w:r>
      <w:r w:rsidR="006A3217">
        <w:rPr>
          <w:rFonts w:ascii="仿宋_GB2312" w:eastAsia="仿宋_GB2312" w:hAnsiTheme="minorEastAsia" w:hint="eastAsia"/>
          <w:sz w:val="32"/>
          <w:szCs w:val="28"/>
        </w:rPr>
        <w:t>35.82</w:t>
      </w:r>
      <w:r w:rsidR="006A3217" w:rsidRPr="00B9797E">
        <w:rPr>
          <w:rFonts w:ascii="仿宋_GB2312" w:eastAsia="仿宋_GB2312" w:hAnsiTheme="minorEastAsia" w:hint="eastAsia"/>
          <w:sz w:val="32"/>
          <w:szCs w:val="28"/>
        </w:rPr>
        <w:t>万元 、印刷费:</w:t>
      </w:r>
      <w:r w:rsidR="006A3217">
        <w:rPr>
          <w:rFonts w:ascii="仿宋_GB2312" w:eastAsia="仿宋_GB2312" w:hAnsiTheme="minorEastAsia" w:hint="eastAsia"/>
          <w:sz w:val="32"/>
          <w:szCs w:val="28"/>
        </w:rPr>
        <w:t>30.99</w:t>
      </w:r>
      <w:r w:rsidR="006A3217" w:rsidRPr="00B9797E">
        <w:rPr>
          <w:rFonts w:ascii="仿宋_GB2312" w:eastAsia="仿宋_GB2312" w:hAnsiTheme="minorEastAsia" w:hint="eastAsia"/>
          <w:sz w:val="32"/>
          <w:szCs w:val="28"/>
        </w:rPr>
        <w:t>万元 、咨询费:0.</w:t>
      </w:r>
      <w:r w:rsidR="006A3217">
        <w:rPr>
          <w:rFonts w:ascii="仿宋_GB2312" w:eastAsia="仿宋_GB2312" w:hAnsiTheme="minorEastAsia" w:hint="eastAsia"/>
          <w:sz w:val="32"/>
          <w:szCs w:val="28"/>
        </w:rPr>
        <w:t>72</w:t>
      </w:r>
      <w:r w:rsidR="006A3217" w:rsidRPr="00B9797E">
        <w:rPr>
          <w:rFonts w:ascii="仿宋_GB2312" w:eastAsia="仿宋_GB2312" w:hAnsiTheme="minorEastAsia" w:hint="eastAsia"/>
          <w:sz w:val="32"/>
          <w:szCs w:val="28"/>
        </w:rPr>
        <w:t>万元 、手续费:0.</w:t>
      </w:r>
      <w:r w:rsidR="006A3217">
        <w:rPr>
          <w:rFonts w:ascii="仿宋_GB2312" w:eastAsia="仿宋_GB2312" w:hAnsiTheme="minorEastAsia" w:hint="eastAsia"/>
          <w:sz w:val="32"/>
          <w:szCs w:val="28"/>
        </w:rPr>
        <w:t>24</w:t>
      </w:r>
      <w:r w:rsidR="006A3217" w:rsidRPr="00B9797E">
        <w:rPr>
          <w:rFonts w:ascii="仿宋_GB2312" w:eastAsia="仿宋_GB2312" w:hAnsiTheme="minorEastAsia" w:hint="eastAsia"/>
          <w:sz w:val="32"/>
          <w:szCs w:val="28"/>
        </w:rPr>
        <w:t>万元 、水费:</w:t>
      </w:r>
      <w:r w:rsidR="006A3217">
        <w:rPr>
          <w:rFonts w:ascii="仿宋_GB2312" w:eastAsia="仿宋_GB2312" w:hAnsiTheme="minorEastAsia" w:hint="eastAsia"/>
          <w:sz w:val="32"/>
          <w:szCs w:val="28"/>
        </w:rPr>
        <w:t>2.81</w:t>
      </w:r>
      <w:r w:rsidR="006A3217" w:rsidRPr="00B9797E">
        <w:rPr>
          <w:rFonts w:ascii="仿宋_GB2312" w:eastAsia="仿宋_GB2312" w:hAnsiTheme="minorEastAsia" w:hint="eastAsia"/>
          <w:sz w:val="32"/>
          <w:szCs w:val="28"/>
        </w:rPr>
        <w:t>万元 、电费:</w:t>
      </w:r>
      <w:r w:rsidR="006A3217">
        <w:rPr>
          <w:rFonts w:ascii="仿宋_GB2312" w:eastAsia="仿宋_GB2312" w:hAnsiTheme="minorEastAsia" w:hint="eastAsia"/>
          <w:sz w:val="32"/>
          <w:szCs w:val="28"/>
        </w:rPr>
        <w:t>11.98</w:t>
      </w:r>
      <w:r w:rsidR="006A3217" w:rsidRPr="00B9797E">
        <w:rPr>
          <w:rFonts w:ascii="仿宋_GB2312" w:eastAsia="仿宋_GB2312" w:hAnsiTheme="minorEastAsia" w:hint="eastAsia"/>
          <w:sz w:val="32"/>
          <w:szCs w:val="28"/>
        </w:rPr>
        <w:t>万元 、邮电</w:t>
      </w:r>
      <w:r w:rsidR="006A3217" w:rsidRPr="00B9797E">
        <w:rPr>
          <w:rFonts w:ascii="仿宋_GB2312" w:eastAsia="仿宋_GB2312" w:hAnsiTheme="minorEastAsia" w:hint="eastAsia"/>
          <w:sz w:val="32"/>
          <w:szCs w:val="28"/>
        </w:rPr>
        <w:lastRenderedPageBreak/>
        <w:t>费</w:t>
      </w:r>
      <w:r w:rsidR="006A3217">
        <w:rPr>
          <w:rFonts w:ascii="仿宋_GB2312" w:eastAsia="仿宋_GB2312" w:hAnsiTheme="minorEastAsia" w:hint="eastAsia"/>
          <w:sz w:val="32"/>
          <w:szCs w:val="28"/>
        </w:rPr>
        <w:t>:22.61</w:t>
      </w:r>
      <w:r w:rsidR="006A3217" w:rsidRPr="00B9797E">
        <w:rPr>
          <w:rFonts w:ascii="仿宋_GB2312" w:eastAsia="仿宋_GB2312" w:hAnsiTheme="minorEastAsia" w:hint="eastAsia"/>
          <w:sz w:val="32"/>
          <w:szCs w:val="28"/>
        </w:rPr>
        <w:t>万元 、物业管理费:</w:t>
      </w:r>
      <w:r w:rsidR="006A3217">
        <w:rPr>
          <w:rFonts w:ascii="仿宋_GB2312" w:eastAsia="仿宋_GB2312" w:hAnsiTheme="minorEastAsia" w:hint="eastAsia"/>
          <w:sz w:val="32"/>
          <w:szCs w:val="28"/>
        </w:rPr>
        <w:t>3.69</w:t>
      </w:r>
      <w:r w:rsidR="006A3217" w:rsidRPr="00B9797E">
        <w:rPr>
          <w:rFonts w:ascii="仿宋_GB2312" w:eastAsia="仿宋_GB2312" w:hAnsiTheme="minorEastAsia" w:hint="eastAsia"/>
          <w:sz w:val="32"/>
          <w:szCs w:val="28"/>
        </w:rPr>
        <w:t>万元 、差旅费</w:t>
      </w:r>
      <w:r w:rsidR="006A3217">
        <w:rPr>
          <w:rFonts w:ascii="仿宋_GB2312" w:eastAsia="仿宋_GB2312" w:hAnsiTheme="minorEastAsia" w:hint="eastAsia"/>
          <w:sz w:val="32"/>
          <w:szCs w:val="28"/>
        </w:rPr>
        <w:t>:156.78</w:t>
      </w:r>
      <w:r w:rsidR="006A3217" w:rsidRPr="00B9797E">
        <w:rPr>
          <w:rFonts w:ascii="仿宋_GB2312" w:eastAsia="仿宋_GB2312" w:hAnsiTheme="minorEastAsia" w:hint="eastAsia"/>
          <w:sz w:val="32"/>
          <w:szCs w:val="28"/>
        </w:rPr>
        <w:t>万元 、维修（护）费:</w:t>
      </w:r>
      <w:r w:rsidR="006A3217">
        <w:rPr>
          <w:rFonts w:ascii="仿宋_GB2312" w:eastAsia="仿宋_GB2312" w:hAnsiTheme="minorEastAsia" w:hint="eastAsia"/>
          <w:sz w:val="32"/>
          <w:szCs w:val="28"/>
        </w:rPr>
        <w:t>39.26</w:t>
      </w:r>
      <w:r w:rsidR="006A3217" w:rsidRPr="00B9797E">
        <w:rPr>
          <w:rFonts w:ascii="仿宋_GB2312" w:eastAsia="仿宋_GB2312" w:hAnsiTheme="minorEastAsia" w:hint="eastAsia"/>
          <w:sz w:val="32"/>
          <w:szCs w:val="28"/>
        </w:rPr>
        <w:t>万元 、培训费</w:t>
      </w:r>
      <w:r w:rsidR="006A3217">
        <w:rPr>
          <w:rFonts w:ascii="仿宋_GB2312" w:eastAsia="仿宋_GB2312" w:hAnsiTheme="minorEastAsia" w:hint="eastAsia"/>
          <w:sz w:val="32"/>
          <w:szCs w:val="28"/>
        </w:rPr>
        <w:t>:4.86</w:t>
      </w:r>
      <w:r w:rsidR="006A3217" w:rsidRPr="00B9797E">
        <w:rPr>
          <w:rFonts w:ascii="仿宋_GB2312" w:eastAsia="仿宋_GB2312" w:hAnsiTheme="minorEastAsia" w:hint="eastAsia"/>
          <w:sz w:val="32"/>
          <w:szCs w:val="28"/>
        </w:rPr>
        <w:t>万元 、公务接待费:</w:t>
      </w:r>
      <w:r w:rsidR="006A3217">
        <w:rPr>
          <w:rFonts w:ascii="仿宋_GB2312" w:eastAsia="仿宋_GB2312" w:hAnsiTheme="minorEastAsia" w:hint="eastAsia"/>
          <w:sz w:val="32"/>
          <w:szCs w:val="28"/>
        </w:rPr>
        <w:t>3.09</w:t>
      </w:r>
      <w:r w:rsidR="006A3217" w:rsidRPr="00B9797E">
        <w:rPr>
          <w:rFonts w:ascii="仿宋_GB2312" w:eastAsia="仿宋_GB2312" w:hAnsiTheme="minorEastAsia" w:hint="eastAsia"/>
          <w:sz w:val="32"/>
          <w:szCs w:val="28"/>
        </w:rPr>
        <w:t>万元 、劳务费:</w:t>
      </w:r>
      <w:r w:rsidR="006A3217">
        <w:rPr>
          <w:rFonts w:ascii="仿宋_GB2312" w:eastAsia="仿宋_GB2312" w:hAnsiTheme="minorEastAsia" w:hint="eastAsia"/>
          <w:sz w:val="32"/>
          <w:szCs w:val="28"/>
        </w:rPr>
        <w:t>60.48</w:t>
      </w:r>
      <w:r w:rsidR="006A3217" w:rsidRPr="00B9797E">
        <w:rPr>
          <w:rFonts w:ascii="仿宋_GB2312" w:eastAsia="仿宋_GB2312" w:hAnsiTheme="minorEastAsia" w:hint="eastAsia"/>
          <w:sz w:val="32"/>
          <w:szCs w:val="28"/>
        </w:rPr>
        <w:t>万元 、委托业务费</w:t>
      </w:r>
      <w:r w:rsidR="006A3217">
        <w:rPr>
          <w:rFonts w:ascii="仿宋_GB2312" w:eastAsia="仿宋_GB2312" w:hAnsiTheme="minorEastAsia" w:hint="eastAsia"/>
          <w:sz w:val="32"/>
          <w:szCs w:val="28"/>
        </w:rPr>
        <w:t>:181.9</w:t>
      </w:r>
      <w:r w:rsidR="006A3217" w:rsidRPr="00B9797E">
        <w:rPr>
          <w:rFonts w:ascii="仿宋_GB2312" w:eastAsia="仿宋_GB2312" w:hAnsiTheme="minorEastAsia" w:hint="eastAsia"/>
          <w:sz w:val="32"/>
          <w:szCs w:val="28"/>
        </w:rPr>
        <w:t>万元 、工会经费:</w:t>
      </w:r>
      <w:r w:rsidR="006A3217">
        <w:rPr>
          <w:rFonts w:ascii="仿宋_GB2312" w:eastAsia="仿宋_GB2312" w:hAnsiTheme="minorEastAsia" w:hint="eastAsia"/>
          <w:sz w:val="32"/>
          <w:szCs w:val="28"/>
        </w:rPr>
        <w:t>52.2</w:t>
      </w:r>
      <w:r w:rsidR="006A3217" w:rsidRPr="00B9797E">
        <w:rPr>
          <w:rFonts w:ascii="仿宋_GB2312" w:eastAsia="仿宋_GB2312" w:hAnsiTheme="minorEastAsia" w:hint="eastAsia"/>
          <w:sz w:val="32"/>
          <w:szCs w:val="28"/>
        </w:rPr>
        <w:t>万元 、公务用车运行维护费:</w:t>
      </w:r>
      <w:r w:rsidR="006A3217">
        <w:rPr>
          <w:rFonts w:ascii="仿宋_GB2312" w:eastAsia="仿宋_GB2312" w:hAnsiTheme="minorEastAsia" w:hint="eastAsia"/>
          <w:sz w:val="32"/>
          <w:szCs w:val="28"/>
        </w:rPr>
        <w:t>36.98</w:t>
      </w:r>
      <w:r w:rsidR="006A3217" w:rsidRPr="00B9797E">
        <w:rPr>
          <w:rFonts w:ascii="仿宋_GB2312" w:eastAsia="仿宋_GB2312" w:hAnsiTheme="minorEastAsia" w:hint="eastAsia"/>
          <w:sz w:val="32"/>
          <w:szCs w:val="28"/>
        </w:rPr>
        <w:t>万元 、其他交通费用:10</w:t>
      </w:r>
      <w:r w:rsidR="006A3217">
        <w:rPr>
          <w:rFonts w:ascii="仿宋_GB2312" w:eastAsia="仿宋_GB2312" w:hAnsiTheme="minorEastAsia" w:hint="eastAsia"/>
          <w:sz w:val="32"/>
          <w:szCs w:val="28"/>
        </w:rPr>
        <w:t>1.93</w:t>
      </w:r>
      <w:r w:rsidR="006A3217" w:rsidRPr="00B9797E">
        <w:rPr>
          <w:rFonts w:ascii="仿宋_GB2312" w:eastAsia="仿宋_GB2312" w:hAnsiTheme="minorEastAsia" w:hint="eastAsia"/>
          <w:sz w:val="32"/>
          <w:szCs w:val="28"/>
        </w:rPr>
        <w:t>万元 、其他商品和服务支出:</w:t>
      </w:r>
      <w:r w:rsidR="006A3217">
        <w:rPr>
          <w:rFonts w:ascii="仿宋_GB2312" w:eastAsia="仿宋_GB2312" w:hAnsiTheme="minorEastAsia" w:hint="eastAsia"/>
          <w:sz w:val="32"/>
          <w:szCs w:val="28"/>
        </w:rPr>
        <w:t>41.57</w:t>
      </w:r>
      <w:r w:rsidR="006A3217" w:rsidRPr="00B9797E">
        <w:rPr>
          <w:rFonts w:ascii="仿宋_GB2312" w:eastAsia="仿宋_GB2312" w:hAnsiTheme="minorEastAsia" w:hint="eastAsia"/>
          <w:sz w:val="32"/>
          <w:szCs w:val="28"/>
        </w:rPr>
        <w:t>万元 。</w:t>
      </w:r>
      <w:r w:rsidRPr="00B9797E">
        <w:rPr>
          <w:rFonts w:ascii="仿宋_GB2312" w:eastAsia="仿宋_GB2312" w:hAnsiTheme="minorEastAsia" w:hint="eastAsia"/>
          <w:sz w:val="32"/>
          <w:szCs w:val="28"/>
        </w:rPr>
        <w:t>资本性支出</w:t>
      </w:r>
      <w:r>
        <w:rPr>
          <w:rFonts w:ascii="仿宋_GB2312" w:eastAsia="仿宋_GB2312" w:hAnsiTheme="minorEastAsia" w:hint="eastAsia"/>
          <w:sz w:val="32"/>
          <w:szCs w:val="28"/>
        </w:rPr>
        <w:t>:</w:t>
      </w:r>
      <w:r w:rsidR="00675626">
        <w:rPr>
          <w:rFonts w:ascii="仿宋_GB2312" w:eastAsia="仿宋_GB2312" w:hAnsiTheme="minorEastAsia" w:hint="eastAsia"/>
          <w:sz w:val="32"/>
          <w:szCs w:val="28"/>
        </w:rPr>
        <w:t>公务用车购置21.48</w:t>
      </w:r>
      <w:r w:rsidRPr="00B9797E">
        <w:rPr>
          <w:rFonts w:ascii="仿宋_GB2312" w:eastAsia="仿宋_GB2312" w:hAnsiTheme="minorEastAsia" w:hint="eastAsia"/>
          <w:sz w:val="32"/>
          <w:szCs w:val="28"/>
        </w:rPr>
        <w:t>万元 。</w:t>
      </w:r>
    </w:p>
    <w:p w:rsidR="005B5C64" w:rsidRDefault="00D52895">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color w:val="000000"/>
          <w:sz w:val="32"/>
          <w:szCs w:val="32"/>
        </w:rPr>
        <w:t>五</w:t>
      </w:r>
      <w:r w:rsidR="00204CDE">
        <w:rPr>
          <w:rFonts w:ascii="黑体" w:eastAsia="黑体" w:hint="eastAsia"/>
          <w:color w:val="000000"/>
          <w:sz w:val="32"/>
          <w:szCs w:val="32"/>
        </w:rPr>
        <w:t>、</w:t>
      </w:r>
      <w:r w:rsidR="00204CDE">
        <w:rPr>
          <w:rStyle w:val="2Char"/>
          <w:rFonts w:ascii="黑体" w:eastAsia="黑体" w:hAnsi="黑体" w:hint="eastAsia"/>
        </w:rPr>
        <w:t>“</w:t>
      </w:r>
      <w:r w:rsidR="00204CDE">
        <w:rPr>
          <w:rStyle w:val="2Char"/>
          <w:rFonts w:ascii="黑体" w:eastAsia="黑体" w:hAnsi="黑体" w:hint="eastAsia"/>
          <w:b w:val="0"/>
        </w:rPr>
        <w:t>三公”经费财政拨款支出决算情况说明</w:t>
      </w:r>
      <w:bookmarkEnd w:id="37"/>
      <w:bookmarkEnd w:id="38"/>
    </w:p>
    <w:p w:rsidR="005B5C64" w:rsidRDefault="00204CDE">
      <w:pPr>
        <w:spacing w:line="600" w:lineRule="exact"/>
        <w:ind w:firstLine="640"/>
        <w:outlineLvl w:val="2"/>
        <w:rPr>
          <w:rFonts w:ascii="仿宋" w:eastAsia="仿宋" w:hAnsi="仿宋"/>
          <w:b/>
          <w:color w:val="000000"/>
          <w:sz w:val="32"/>
          <w:szCs w:val="32"/>
        </w:rPr>
      </w:pPr>
      <w:bookmarkStart w:id="39" w:name="_Toc15377216"/>
      <w:r>
        <w:rPr>
          <w:rFonts w:ascii="仿宋" w:eastAsia="仿宋" w:hAnsi="仿宋" w:hint="eastAsia"/>
          <w:b/>
          <w:color w:val="000000"/>
          <w:sz w:val="32"/>
          <w:szCs w:val="32"/>
        </w:rPr>
        <w:t>（一）“三公”经费财政拨款支出决算总体情况说明</w:t>
      </w:r>
      <w:bookmarkEnd w:id="39"/>
    </w:p>
    <w:p w:rsidR="005B5C64" w:rsidRPr="000468DB" w:rsidRDefault="00204CDE" w:rsidP="00D52895">
      <w:pPr>
        <w:spacing w:line="600" w:lineRule="exact"/>
        <w:ind w:firstLine="640"/>
        <w:rPr>
          <w:rFonts w:ascii="仿宋" w:eastAsia="仿宋" w:hAnsi="仿宋"/>
          <w:b/>
          <w:color w:val="FF0000"/>
          <w:sz w:val="32"/>
          <w:szCs w:val="32"/>
        </w:rPr>
      </w:pPr>
      <w:r>
        <w:rPr>
          <w:rFonts w:ascii="仿宋" w:eastAsia="仿宋" w:hAnsi="仿宋"/>
          <w:color w:val="000000"/>
          <w:sz w:val="32"/>
          <w:szCs w:val="32"/>
        </w:rPr>
        <w:t>20</w:t>
      </w:r>
      <w:r w:rsidR="00F43341">
        <w:rPr>
          <w:rFonts w:ascii="仿宋" w:eastAsia="仿宋" w:hAnsi="仿宋" w:hint="eastAsia"/>
          <w:color w:val="000000"/>
          <w:sz w:val="32"/>
          <w:szCs w:val="32"/>
        </w:rPr>
        <w:t>20</w:t>
      </w:r>
      <w:r>
        <w:rPr>
          <w:rFonts w:ascii="仿宋" w:eastAsia="仿宋" w:hAnsi="仿宋" w:hint="eastAsia"/>
          <w:color w:val="000000"/>
          <w:sz w:val="32"/>
          <w:szCs w:val="32"/>
        </w:rPr>
        <w:t>年“三公”经费财政拨款支出决算为</w:t>
      </w:r>
      <w:r w:rsidR="00F43341">
        <w:rPr>
          <w:rFonts w:ascii="仿宋" w:eastAsia="仿宋" w:hAnsi="仿宋" w:hint="eastAsia"/>
          <w:color w:val="000000"/>
          <w:sz w:val="32"/>
          <w:szCs w:val="32"/>
        </w:rPr>
        <w:t>75.71</w:t>
      </w:r>
      <w:r w:rsidR="00D52895">
        <w:rPr>
          <w:rFonts w:ascii="仿宋" w:eastAsia="仿宋" w:hAnsi="仿宋" w:hint="eastAsia"/>
          <w:color w:val="000000"/>
          <w:sz w:val="32"/>
          <w:szCs w:val="32"/>
        </w:rPr>
        <w:t>万元。</w:t>
      </w:r>
      <w:r w:rsidR="00D52895" w:rsidRPr="000468DB">
        <w:rPr>
          <w:rFonts w:ascii="仿宋" w:eastAsia="仿宋" w:hAnsi="仿宋"/>
          <w:b/>
          <w:color w:val="FF0000"/>
          <w:sz w:val="32"/>
          <w:szCs w:val="32"/>
        </w:rPr>
        <w:t xml:space="preserve"> </w:t>
      </w:r>
    </w:p>
    <w:p w:rsidR="005B5C64" w:rsidRDefault="00204CDE">
      <w:pPr>
        <w:spacing w:line="600" w:lineRule="exact"/>
        <w:ind w:firstLine="640"/>
        <w:outlineLvl w:val="2"/>
        <w:rPr>
          <w:rFonts w:ascii="仿宋" w:eastAsia="仿宋" w:hAnsi="仿宋"/>
          <w:b/>
          <w:color w:val="000000"/>
          <w:sz w:val="32"/>
          <w:szCs w:val="32"/>
        </w:rPr>
      </w:pPr>
      <w:bookmarkStart w:id="40" w:name="_Toc15377217"/>
      <w:r>
        <w:rPr>
          <w:rFonts w:ascii="仿宋" w:eastAsia="仿宋" w:hAnsi="仿宋" w:hint="eastAsia"/>
          <w:b/>
          <w:color w:val="000000"/>
          <w:sz w:val="32"/>
          <w:szCs w:val="32"/>
        </w:rPr>
        <w:t>（二）“三公”经费财政拨款支出决算具体情况说明</w:t>
      </w:r>
      <w:bookmarkEnd w:id="40"/>
    </w:p>
    <w:p w:rsidR="005B5C64" w:rsidRDefault="00204CDE" w:rsidP="00D52895">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sidR="00F43341">
        <w:rPr>
          <w:rFonts w:ascii="仿宋" w:eastAsia="仿宋" w:hAnsi="仿宋" w:hint="eastAsia"/>
          <w:color w:val="000000"/>
          <w:sz w:val="32"/>
          <w:szCs w:val="32"/>
        </w:rPr>
        <w:t>20</w:t>
      </w:r>
      <w:r>
        <w:rPr>
          <w:rFonts w:ascii="仿宋" w:eastAsia="仿宋" w:hAnsi="仿宋" w:hint="eastAsia"/>
          <w:color w:val="000000"/>
          <w:sz w:val="32"/>
          <w:szCs w:val="32"/>
        </w:rPr>
        <w:t>年“三公”经费财政拨款支出决算中，因公出国（境）费支出决算</w:t>
      </w:r>
      <w:r w:rsidR="00D52895">
        <w:rPr>
          <w:rFonts w:ascii="仿宋" w:eastAsia="仿宋" w:hAnsi="仿宋" w:hint="eastAsia"/>
          <w:color w:val="000000"/>
          <w:sz w:val="32"/>
          <w:szCs w:val="32"/>
        </w:rPr>
        <w:t>0</w:t>
      </w:r>
      <w:r>
        <w:rPr>
          <w:rFonts w:ascii="仿宋" w:eastAsia="仿宋" w:hAnsi="仿宋" w:hint="eastAsia"/>
          <w:color w:val="000000"/>
          <w:sz w:val="32"/>
          <w:szCs w:val="32"/>
        </w:rPr>
        <w:t>万元，占</w:t>
      </w:r>
      <w:r w:rsidR="00D5289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F43341">
        <w:rPr>
          <w:rFonts w:ascii="仿宋" w:eastAsia="仿宋" w:hAnsi="仿宋" w:hint="eastAsia"/>
          <w:color w:val="000000"/>
          <w:sz w:val="32"/>
          <w:szCs w:val="32"/>
        </w:rPr>
        <w:t>72.62</w:t>
      </w:r>
      <w:r>
        <w:rPr>
          <w:rFonts w:ascii="仿宋" w:eastAsia="仿宋" w:hAnsi="仿宋" w:hint="eastAsia"/>
          <w:color w:val="000000"/>
          <w:sz w:val="32"/>
          <w:szCs w:val="32"/>
        </w:rPr>
        <w:t>万元，占</w:t>
      </w:r>
      <w:r w:rsidR="00D52895">
        <w:rPr>
          <w:rFonts w:ascii="仿宋" w:eastAsia="仿宋" w:hAnsi="仿宋" w:hint="eastAsia"/>
          <w:color w:val="000000"/>
          <w:sz w:val="32"/>
          <w:szCs w:val="32"/>
        </w:rPr>
        <w:t>9</w:t>
      </w:r>
      <w:r w:rsidR="00F43341">
        <w:rPr>
          <w:rFonts w:ascii="仿宋" w:eastAsia="仿宋" w:hAnsi="仿宋" w:hint="eastAsia"/>
          <w:color w:val="000000"/>
          <w:sz w:val="32"/>
          <w:szCs w:val="32"/>
        </w:rPr>
        <w:t>5.92</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F43341">
        <w:rPr>
          <w:rFonts w:ascii="仿宋" w:eastAsia="仿宋" w:hAnsi="仿宋" w:hint="eastAsia"/>
          <w:color w:val="000000"/>
          <w:sz w:val="32"/>
          <w:szCs w:val="32"/>
        </w:rPr>
        <w:t>3.09</w:t>
      </w:r>
      <w:r>
        <w:rPr>
          <w:rFonts w:ascii="仿宋" w:eastAsia="仿宋" w:hAnsi="仿宋" w:hint="eastAsia"/>
          <w:color w:val="000000"/>
          <w:sz w:val="32"/>
          <w:szCs w:val="32"/>
        </w:rPr>
        <w:t>万元，占</w:t>
      </w:r>
      <w:r w:rsidR="00F43341">
        <w:rPr>
          <w:rFonts w:ascii="仿宋" w:eastAsia="仿宋" w:hAnsi="仿宋" w:hint="eastAsia"/>
          <w:color w:val="000000"/>
          <w:sz w:val="32"/>
          <w:szCs w:val="32"/>
        </w:rPr>
        <w:t>4.08</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D52895">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00204CDE">
        <w:rPr>
          <w:rFonts w:ascii="仿宋_GB2312" w:eastAsia="仿宋_GB2312"/>
          <w:b/>
          <w:color w:val="000000"/>
          <w:sz w:val="32"/>
          <w:szCs w:val="32"/>
        </w:rPr>
        <w:t>.</w:t>
      </w:r>
      <w:r w:rsidR="00204CDE">
        <w:rPr>
          <w:rFonts w:ascii="仿宋_GB2312" w:eastAsia="仿宋_GB2312" w:hint="eastAsia"/>
          <w:b/>
          <w:color w:val="000000"/>
          <w:sz w:val="32"/>
          <w:szCs w:val="32"/>
        </w:rPr>
        <w:t>公务用车购置及运行维护费支出</w:t>
      </w:r>
      <w:r w:rsidR="00787907">
        <w:rPr>
          <w:rFonts w:ascii="仿宋_GB2312" w:eastAsia="仿宋_GB2312" w:hint="eastAsia"/>
          <w:color w:val="000000"/>
          <w:sz w:val="32"/>
          <w:szCs w:val="32"/>
        </w:rPr>
        <w:t>72.62</w:t>
      </w:r>
      <w:r w:rsidR="00204CDE">
        <w:rPr>
          <w:rFonts w:ascii="仿宋_GB2312" w:eastAsia="仿宋_GB2312" w:hint="eastAsia"/>
          <w:color w:val="000000"/>
          <w:sz w:val="32"/>
          <w:szCs w:val="32"/>
        </w:rPr>
        <w:t>万元</w:t>
      </w:r>
      <w:r>
        <w:rPr>
          <w:rFonts w:ascii="仿宋_GB2312" w:eastAsia="仿宋_GB2312" w:hint="eastAsia"/>
          <w:color w:val="000000"/>
          <w:sz w:val="32"/>
          <w:szCs w:val="32"/>
        </w:rPr>
        <w:t>。</w:t>
      </w: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787907">
        <w:rPr>
          <w:rFonts w:ascii="仿宋_GB2312" w:eastAsia="仿宋_GB2312" w:hint="eastAsia"/>
          <w:color w:val="000000"/>
          <w:sz w:val="32"/>
          <w:szCs w:val="32"/>
        </w:rPr>
        <w:t>35.64</w:t>
      </w:r>
      <w:r>
        <w:rPr>
          <w:rFonts w:ascii="仿宋_GB2312" w:eastAsia="仿宋_GB2312" w:hint="eastAsia"/>
          <w:color w:val="000000"/>
          <w:sz w:val="32"/>
          <w:szCs w:val="32"/>
        </w:rPr>
        <w:t>万元。全年按规定更新购置公务用车</w:t>
      </w:r>
      <w:r w:rsidR="00787907">
        <w:rPr>
          <w:rFonts w:ascii="仿宋_GB2312" w:eastAsia="仿宋_GB2312" w:hint="eastAsia"/>
          <w:color w:val="000000"/>
          <w:sz w:val="32"/>
          <w:szCs w:val="32"/>
        </w:rPr>
        <w:t>5</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787907">
        <w:rPr>
          <w:rFonts w:ascii="仿宋_GB2312" w:eastAsia="仿宋_GB2312" w:hint="eastAsia"/>
          <w:color w:val="000000"/>
          <w:sz w:val="32"/>
          <w:szCs w:val="32"/>
        </w:rPr>
        <w:t>35.64</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w:t>
      </w:r>
      <w:r w:rsidR="00787907">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D52895">
        <w:rPr>
          <w:rFonts w:ascii="仿宋_GB2312" w:eastAsia="仿宋_GB2312" w:hint="eastAsia"/>
          <w:color w:val="000000"/>
          <w:sz w:val="32"/>
          <w:szCs w:val="32"/>
        </w:rPr>
        <w:t>27</w:t>
      </w:r>
      <w:r>
        <w:rPr>
          <w:rFonts w:ascii="仿宋_GB2312" w:eastAsia="仿宋_GB2312" w:hint="eastAsia"/>
          <w:color w:val="000000"/>
          <w:sz w:val="32"/>
          <w:szCs w:val="32"/>
        </w:rPr>
        <w:t>辆，其中：</w:t>
      </w:r>
      <w:r w:rsidR="00D52895">
        <w:rPr>
          <w:rFonts w:ascii="仿宋_GB2312" w:eastAsia="仿宋_GB2312" w:hint="eastAsia"/>
          <w:color w:val="000000"/>
          <w:sz w:val="32"/>
          <w:szCs w:val="32"/>
        </w:rPr>
        <w:t>公务</w:t>
      </w:r>
      <w:r w:rsidR="00727533" w:rsidRPr="00727533">
        <w:rPr>
          <w:rFonts w:ascii="仿宋_GB2312" w:eastAsia="仿宋_GB2312" w:hint="eastAsia"/>
          <w:color w:val="000000"/>
          <w:sz w:val="32"/>
          <w:szCs w:val="32"/>
        </w:rPr>
        <w:t>用车</w:t>
      </w:r>
      <w:r w:rsidR="00D52895">
        <w:rPr>
          <w:rFonts w:ascii="仿宋_GB2312" w:eastAsia="仿宋_GB2312" w:hint="eastAsia"/>
          <w:color w:val="000000"/>
          <w:sz w:val="32"/>
          <w:szCs w:val="32"/>
        </w:rPr>
        <w:t>2</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执法执勤用车</w:t>
      </w:r>
      <w:r w:rsidR="00D52895">
        <w:rPr>
          <w:rFonts w:ascii="仿宋_GB2312" w:eastAsia="仿宋_GB2312" w:hint="eastAsia"/>
          <w:color w:val="000000"/>
          <w:sz w:val="32"/>
          <w:szCs w:val="32"/>
        </w:rPr>
        <w:t>2</w:t>
      </w:r>
      <w:r w:rsidR="00787907">
        <w:rPr>
          <w:rFonts w:ascii="仿宋_GB2312" w:eastAsia="仿宋_GB2312" w:hint="eastAsia"/>
          <w:color w:val="000000"/>
          <w:sz w:val="32"/>
          <w:szCs w:val="32"/>
        </w:rPr>
        <w:t>2</w:t>
      </w:r>
      <w:r w:rsidR="00727533">
        <w:rPr>
          <w:rFonts w:ascii="仿宋_GB2312" w:eastAsia="仿宋_GB2312" w:hint="eastAsia"/>
          <w:color w:val="000000"/>
          <w:sz w:val="32"/>
          <w:szCs w:val="32"/>
        </w:rPr>
        <w:t>辆</w:t>
      </w:r>
      <w:r w:rsidR="00787907">
        <w:rPr>
          <w:rFonts w:ascii="仿宋_GB2312" w:eastAsia="仿宋_GB2312" w:hint="eastAsia"/>
          <w:color w:val="000000"/>
          <w:sz w:val="32"/>
          <w:szCs w:val="32"/>
        </w:rPr>
        <w:t>，特种设备用车3辆。</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6C51C6">
        <w:rPr>
          <w:rFonts w:ascii="仿宋_GB2312" w:eastAsia="仿宋_GB2312" w:hint="eastAsia"/>
          <w:color w:val="000000"/>
          <w:sz w:val="32"/>
          <w:szCs w:val="32"/>
        </w:rPr>
        <w:t>3</w:t>
      </w:r>
      <w:r w:rsidR="00787907">
        <w:rPr>
          <w:rFonts w:ascii="仿宋_GB2312" w:eastAsia="仿宋_GB2312" w:hint="eastAsia"/>
          <w:color w:val="000000"/>
          <w:sz w:val="32"/>
          <w:szCs w:val="32"/>
        </w:rPr>
        <w:t>6.98</w:t>
      </w:r>
      <w:r>
        <w:rPr>
          <w:rFonts w:ascii="仿宋_GB2312" w:eastAsia="仿宋_GB2312" w:hint="eastAsia"/>
          <w:color w:val="000000"/>
          <w:sz w:val="32"/>
          <w:szCs w:val="32"/>
        </w:rPr>
        <w:t>万元。主要用于</w:t>
      </w:r>
      <w:r w:rsidR="006C51C6">
        <w:rPr>
          <w:rFonts w:ascii="仿宋_GB2312" w:eastAsia="仿宋_GB2312" w:hint="eastAsia"/>
          <w:color w:val="000000"/>
          <w:sz w:val="32"/>
          <w:szCs w:val="32"/>
        </w:rPr>
        <w:t>执法办案等日常工作</w:t>
      </w:r>
      <w:r>
        <w:rPr>
          <w:rFonts w:ascii="仿宋_GB2312" w:eastAsia="仿宋_GB2312" w:hint="eastAsia"/>
          <w:color w:val="000000"/>
          <w:sz w:val="32"/>
          <w:szCs w:val="32"/>
        </w:rPr>
        <w:t>所需的公务用车燃料费、维修费、过路过桥费、</w:t>
      </w:r>
      <w:r>
        <w:rPr>
          <w:rFonts w:ascii="仿宋_GB2312" w:eastAsia="仿宋_GB2312" w:hint="eastAsia"/>
          <w:color w:val="000000"/>
          <w:sz w:val="32"/>
          <w:szCs w:val="32"/>
        </w:rPr>
        <w:lastRenderedPageBreak/>
        <w:t>保险费等支出。</w:t>
      </w:r>
    </w:p>
    <w:p w:rsidR="005B5C64"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787907">
        <w:rPr>
          <w:rFonts w:ascii="仿宋_GB2312" w:eastAsia="仿宋_GB2312" w:hint="eastAsia"/>
          <w:color w:val="000000"/>
          <w:sz w:val="32"/>
          <w:szCs w:val="32"/>
        </w:rPr>
        <w:t>3.09</w:t>
      </w:r>
      <w:r w:rsidR="006C51C6">
        <w:rPr>
          <w:rFonts w:ascii="仿宋_GB2312" w:eastAsia="仿宋_GB2312" w:hint="eastAsia"/>
          <w:color w:val="000000"/>
          <w:sz w:val="32"/>
          <w:szCs w:val="32"/>
        </w:rPr>
        <w:t>万元。</w:t>
      </w:r>
      <w:r>
        <w:rPr>
          <w:rFonts w:ascii="仿宋" w:eastAsia="仿宋" w:hAnsi="仿宋" w:hint="eastAsia"/>
          <w:b/>
          <w:color w:val="000000"/>
          <w:sz w:val="32"/>
          <w:szCs w:val="32"/>
        </w:rPr>
        <w:t>国内公务接待支出</w:t>
      </w:r>
      <w:r w:rsidR="00787907">
        <w:rPr>
          <w:rFonts w:ascii="仿宋" w:eastAsia="仿宋" w:hAnsi="仿宋" w:hint="eastAsia"/>
          <w:color w:val="000000"/>
          <w:sz w:val="32"/>
          <w:szCs w:val="32"/>
        </w:rPr>
        <w:t>3.09</w:t>
      </w:r>
      <w:r>
        <w:rPr>
          <w:rFonts w:ascii="仿宋_GB2312" w:eastAsia="仿宋_GB2312" w:hint="eastAsia"/>
          <w:color w:val="000000"/>
          <w:sz w:val="32"/>
          <w:szCs w:val="32"/>
        </w:rPr>
        <w:t>万元，主要用于执行公务、开展业务活动开支的交通费、住宿费、用餐费等。国内公务接待</w:t>
      </w:r>
      <w:r w:rsidR="00787907">
        <w:rPr>
          <w:rFonts w:ascii="仿宋_GB2312" w:eastAsia="仿宋_GB2312" w:hint="eastAsia"/>
          <w:color w:val="000000"/>
          <w:sz w:val="32"/>
          <w:szCs w:val="32"/>
        </w:rPr>
        <w:t>41</w:t>
      </w:r>
      <w:r>
        <w:rPr>
          <w:rFonts w:ascii="仿宋_GB2312" w:eastAsia="仿宋_GB2312" w:hint="eastAsia"/>
          <w:color w:val="000000"/>
          <w:sz w:val="32"/>
          <w:szCs w:val="32"/>
        </w:rPr>
        <w:t>批次，</w:t>
      </w:r>
      <w:r w:rsidR="00787907">
        <w:rPr>
          <w:rFonts w:ascii="仿宋_GB2312" w:eastAsia="仿宋_GB2312" w:hint="eastAsia"/>
          <w:color w:val="000000"/>
          <w:sz w:val="32"/>
          <w:szCs w:val="32"/>
        </w:rPr>
        <w:t>329</w:t>
      </w:r>
      <w:r>
        <w:rPr>
          <w:rFonts w:ascii="仿宋_GB2312" w:eastAsia="仿宋_GB2312" w:hint="eastAsia"/>
          <w:color w:val="000000"/>
          <w:sz w:val="32"/>
          <w:szCs w:val="32"/>
        </w:rPr>
        <w:t>人次（不包括陪同人员），共计支出</w:t>
      </w:r>
      <w:r w:rsidR="00787907">
        <w:rPr>
          <w:rFonts w:ascii="仿宋_GB2312" w:eastAsia="仿宋_GB2312" w:hint="eastAsia"/>
          <w:color w:val="000000"/>
          <w:sz w:val="32"/>
          <w:szCs w:val="32"/>
        </w:rPr>
        <w:t>3.09</w:t>
      </w:r>
      <w:r w:rsidR="006C51C6">
        <w:rPr>
          <w:rFonts w:ascii="仿宋_GB2312" w:eastAsia="仿宋_GB2312" w:hint="eastAsia"/>
          <w:color w:val="000000"/>
          <w:sz w:val="32"/>
          <w:szCs w:val="32"/>
        </w:rPr>
        <w:t>万元。</w:t>
      </w:r>
      <w:r w:rsidR="006C51C6">
        <w:rPr>
          <w:rFonts w:ascii="仿宋_GB2312" w:eastAsia="仿宋_GB2312"/>
          <w:color w:val="000000"/>
          <w:sz w:val="32"/>
          <w:szCs w:val="32"/>
        </w:rPr>
        <w:t xml:space="preserve"> </w:t>
      </w:r>
    </w:p>
    <w:p w:rsidR="005B5C64" w:rsidRDefault="00204CDE">
      <w:pPr>
        <w:spacing w:line="600" w:lineRule="exact"/>
        <w:ind w:firstLineChars="250" w:firstLine="800"/>
        <w:outlineLvl w:val="1"/>
        <w:rPr>
          <w:rStyle w:val="2Char"/>
          <w:rFonts w:ascii="黑体" w:eastAsia="黑体" w:hAnsi="黑体"/>
        </w:rPr>
      </w:pPr>
      <w:bookmarkStart w:id="41" w:name="_Toc15396612"/>
      <w:bookmarkStart w:id="4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1"/>
      <w:bookmarkEnd w:id="42"/>
    </w:p>
    <w:p w:rsidR="005B5C64" w:rsidRDefault="00204CDE">
      <w:pPr>
        <w:spacing w:line="600" w:lineRule="exact"/>
        <w:ind w:firstLineChars="200" w:firstLine="643"/>
        <w:outlineLvl w:val="2"/>
        <w:rPr>
          <w:rFonts w:ascii="仿宋" w:eastAsia="仿宋" w:hAnsi="仿宋"/>
          <w:color w:val="000000"/>
          <w:sz w:val="32"/>
          <w:szCs w:val="32"/>
        </w:rPr>
      </w:pPr>
      <w:bookmarkStart w:id="43" w:name="_Toc15377222"/>
      <w:r>
        <w:rPr>
          <w:rFonts w:ascii="仿宋" w:eastAsia="仿宋" w:hAnsi="仿宋" w:hint="eastAsia"/>
          <w:b/>
          <w:color w:val="000000"/>
          <w:sz w:val="32"/>
          <w:szCs w:val="32"/>
        </w:rPr>
        <w:t>（一）机关运行经费支出情况</w:t>
      </w:r>
      <w:bookmarkEnd w:id="43"/>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sidR="00E43AFA">
        <w:rPr>
          <w:rFonts w:ascii="仿宋_GB2312" w:eastAsia="仿宋_GB2312" w:hint="eastAsia"/>
          <w:color w:val="000000"/>
          <w:sz w:val="32"/>
          <w:szCs w:val="32"/>
        </w:rPr>
        <w:t>20</w:t>
      </w:r>
      <w:r>
        <w:rPr>
          <w:rFonts w:ascii="仿宋_GB2312" w:eastAsia="仿宋_GB2312" w:hint="eastAsia"/>
          <w:color w:val="000000"/>
          <w:sz w:val="32"/>
          <w:szCs w:val="32"/>
        </w:rPr>
        <w:t>年，</w:t>
      </w:r>
      <w:r w:rsidR="008927B3">
        <w:rPr>
          <w:rFonts w:ascii="仿宋_GB2312" w:eastAsia="仿宋_GB2312" w:hint="eastAsia"/>
          <w:color w:val="000000"/>
          <w:sz w:val="32"/>
          <w:szCs w:val="32"/>
        </w:rPr>
        <w:t>广汉市市场监督管理局</w:t>
      </w:r>
      <w:r>
        <w:rPr>
          <w:rFonts w:ascii="仿宋_GB2312" w:eastAsia="仿宋_GB2312" w:hint="eastAsia"/>
          <w:color w:val="000000"/>
          <w:sz w:val="32"/>
          <w:szCs w:val="32"/>
        </w:rPr>
        <w:t>机关运行经费支出</w:t>
      </w:r>
      <w:r w:rsidR="00E43AFA">
        <w:rPr>
          <w:rFonts w:ascii="仿宋_GB2312" w:eastAsia="仿宋_GB2312" w:hint="eastAsia"/>
          <w:color w:val="000000"/>
          <w:sz w:val="32"/>
          <w:szCs w:val="32"/>
        </w:rPr>
        <w:t>385.09</w:t>
      </w:r>
      <w:r>
        <w:rPr>
          <w:rFonts w:ascii="仿宋_GB2312" w:eastAsia="仿宋_GB2312" w:hint="eastAsia"/>
          <w:color w:val="000000"/>
          <w:sz w:val="32"/>
          <w:szCs w:val="32"/>
        </w:rPr>
        <w:t>万元</w:t>
      </w:r>
      <w:r w:rsidR="008927B3">
        <w:rPr>
          <w:rFonts w:ascii="仿宋_GB2312" w:eastAsia="仿宋_GB2312" w:hint="eastAsia"/>
          <w:color w:val="000000"/>
          <w:sz w:val="32"/>
          <w:szCs w:val="32"/>
        </w:rPr>
        <w:t>。</w:t>
      </w:r>
      <w:r w:rsidR="008927B3">
        <w:rPr>
          <w:rFonts w:ascii="仿宋_GB2312" w:eastAsia="仿宋_GB2312"/>
          <w:color w:val="000000" w:themeColor="text1"/>
          <w:sz w:val="32"/>
          <w:szCs w:val="32"/>
        </w:rPr>
        <w:t xml:space="preserve"> </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4" w:name="_Toc15377223"/>
      <w:r>
        <w:rPr>
          <w:rFonts w:ascii="仿宋" w:eastAsia="仿宋" w:hAnsi="仿宋" w:hint="eastAsia"/>
          <w:b/>
          <w:color w:val="000000"/>
          <w:sz w:val="32"/>
          <w:szCs w:val="32"/>
        </w:rPr>
        <w:t>（二）政府采购支出情况</w:t>
      </w:r>
      <w:bookmarkEnd w:id="44"/>
    </w:p>
    <w:p w:rsidR="00E472B1" w:rsidRDefault="00743479">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204CDE">
        <w:rPr>
          <w:rFonts w:ascii="仿宋_GB2312" w:eastAsia="仿宋_GB2312" w:hint="eastAsia"/>
          <w:color w:val="000000"/>
          <w:sz w:val="32"/>
          <w:szCs w:val="32"/>
        </w:rPr>
        <w:t>年，</w:t>
      </w:r>
      <w:r w:rsidR="008927B3">
        <w:rPr>
          <w:rFonts w:ascii="仿宋_GB2312" w:eastAsia="仿宋_GB2312" w:hint="eastAsia"/>
          <w:color w:val="000000"/>
          <w:sz w:val="32"/>
          <w:szCs w:val="32"/>
        </w:rPr>
        <w:t>广汉市市场监督管理局</w:t>
      </w:r>
      <w:r w:rsidR="00204CDE">
        <w:rPr>
          <w:rFonts w:ascii="仿宋_GB2312" w:eastAsia="仿宋_GB2312" w:hint="eastAsia"/>
          <w:color w:val="000000"/>
          <w:sz w:val="32"/>
          <w:szCs w:val="32"/>
        </w:rPr>
        <w:t>政府采购支出总额</w:t>
      </w:r>
      <w:r>
        <w:rPr>
          <w:rFonts w:ascii="仿宋_GB2312" w:eastAsia="仿宋_GB2312" w:hint="eastAsia"/>
          <w:color w:val="000000"/>
          <w:sz w:val="32"/>
          <w:szCs w:val="32"/>
        </w:rPr>
        <w:t>179.64</w:t>
      </w:r>
      <w:r w:rsidR="00204CDE">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45.84</w:t>
      </w:r>
      <w:r w:rsidR="00204CDE">
        <w:rPr>
          <w:rFonts w:ascii="仿宋_GB2312" w:eastAsia="仿宋_GB2312" w:hint="eastAsia"/>
          <w:color w:val="000000"/>
          <w:sz w:val="32"/>
          <w:szCs w:val="32"/>
        </w:rPr>
        <w:t>万元、政府采购工程支出</w:t>
      </w:r>
      <w:r w:rsidR="008927B3">
        <w:rPr>
          <w:rFonts w:ascii="仿宋_GB2312" w:eastAsia="仿宋_GB2312" w:hint="eastAsia"/>
          <w:color w:val="000000"/>
          <w:sz w:val="32"/>
          <w:szCs w:val="32"/>
        </w:rPr>
        <w:t>0</w:t>
      </w:r>
      <w:r w:rsidR="00204CDE">
        <w:rPr>
          <w:rFonts w:ascii="仿宋_GB2312" w:eastAsia="仿宋_GB2312" w:hint="eastAsia"/>
          <w:color w:val="000000"/>
          <w:sz w:val="32"/>
          <w:szCs w:val="32"/>
        </w:rPr>
        <w:t>万元、政府采购服务支出</w:t>
      </w:r>
      <w:r>
        <w:rPr>
          <w:rFonts w:ascii="仿宋_GB2312" w:eastAsia="仿宋_GB2312" w:hint="eastAsia"/>
          <w:color w:val="000000"/>
          <w:sz w:val="32"/>
          <w:szCs w:val="32"/>
        </w:rPr>
        <w:t>133.8</w:t>
      </w:r>
      <w:r w:rsidR="00204CDE">
        <w:rPr>
          <w:rFonts w:ascii="仿宋_GB2312" w:eastAsia="仿宋_GB2312" w:hint="eastAsia"/>
          <w:color w:val="000000"/>
          <w:sz w:val="32"/>
          <w:szCs w:val="32"/>
        </w:rPr>
        <w:t>万元。主要用于</w:t>
      </w:r>
      <w:r w:rsidR="008927B3">
        <w:rPr>
          <w:rFonts w:ascii="仿宋_GB2312" w:eastAsia="仿宋_GB2312" w:hint="eastAsia"/>
          <w:color w:val="000000"/>
          <w:sz w:val="32"/>
          <w:szCs w:val="32"/>
        </w:rPr>
        <w:t>购买日常工作中所需办公设备以及抽检委托业务费等。</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5" w:name="_Toc15377224"/>
      <w:r>
        <w:rPr>
          <w:rFonts w:ascii="仿宋" w:eastAsia="仿宋" w:hAnsi="仿宋" w:hint="eastAsia"/>
          <w:b/>
          <w:color w:val="000000"/>
          <w:sz w:val="32"/>
          <w:szCs w:val="32"/>
        </w:rPr>
        <w:t>（三）国有资产占有使用情况</w:t>
      </w:r>
      <w:bookmarkEnd w:id="45"/>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sidR="00743479">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8927B3">
        <w:rPr>
          <w:rFonts w:ascii="仿宋_GB2312" w:eastAsia="仿宋_GB2312" w:hint="eastAsia"/>
          <w:color w:val="000000"/>
          <w:sz w:val="32"/>
          <w:szCs w:val="32"/>
        </w:rPr>
        <w:t>广汉市市场监督管理局</w:t>
      </w:r>
      <w:r>
        <w:rPr>
          <w:rFonts w:ascii="仿宋_GB2312" w:eastAsia="仿宋_GB2312" w:hint="eastAsia"/>
          <w:color w:val="000000"/>
          <w:sz w:val="32"/>
          <w:szCs w:val="32"/>
        </w:rPr>
        <w:t>共有车辆</w:t>
      </w:r>
      <w:r w:rsidR="008927B3">
        <w:rPr>
          <w:rFonts w:ascii="仿宋_GB2312" w:eastAsia="仿宋_GB2312" w:hint="eastAsia"/>
          <w:color w:val="000000"/>
          <w:sz w:val="32"/>
          <w:szCs w:val="32"/>
        </w:rPr>
        <w:t>27</w:t>
      </w:r>
      <w:r>
        <w:rPr>
          <w:rFonts w:ascii="仿宋_GB2312" w:eastAsia="仿宋_GB2312" w:hint="eastAsia"/>
          <w:color w:val="000000"/>
          <w:sz w:val="32"/>
          <w:szCs w:val="32"/>
        </w:rPr>
        <w:t>辆，其中：</w:t>
      </w:r>
      <w:r w:rsidR="00813348">
        <w:rPr>
          <w:rFonts w:ascii="仿宋_GB2312" w:eastAsia="仿宋_GB2312" w:hint="eastAsia"/>
          <w:color w:val="000000"/>
          <w:sz w:val="32"/>
          <w:szCs w:val="32"/>
        </w:rPr>
        <w:t>主要</w:t>
      </w:r>
      <w:r w:rsidR="008927B3">
        <w:rPr>
          <w:rFonts w:ascii="仿宋_GB2312" w:eastAsia="仿宋_GB2312" w:hint="eastAsia"/>
          <w:color w:val="000000"/>
          <w:sz w:val="32"/>
          <w:szCs w:val="32"/>
        </w:rPr>
        <w:t>公务用车2</w:t>
      </w:r>
      <w:r>
        <w:rPr>
          <w:rFonts w:ascii="仿宋_GB2312" w:eastAsia="仿宋_GB2312" w:hint="eastAsia"/>
          <w:color w:val="000000"/>
          <w:sz w:val="32"/>
          <w:szCs w:val="32"/>
        </w:rPr>
        <w:t>辆、</w:t>
      </w:r>
      <w:r w:rsidR="008927B3">
        <w:rPr>
          <w:rFonts w:ascii="仿宋_GB2312" w:eastAsia="仿宋_GB2312" w:hint="eastAsia"/>
          <w:color w:val="000000"/>
          <w:sz w:val="32"/>
          <w:szCs w:val="32"/>
        </w:rPr>
        <w:t>执法执勤</w:t>
      </w:r>
      <w:r>
        <w:rPr>
          <w:rFonts w:ascii="仿宋_GB2312" w:eastAsia="仿宋_GB2312" w:hint="eastAsia"/>
          <w:color w:val="000000"/>
          <w:sz w:val="32"/>
          <w:szCs w:val="32"/>
        </w:rPr>
        <w:t>用车</w:t>
      </w:r>
      <w:r w:rsidR="008927B3">
        <w:rPr>
          <w:rFonts w:ascii="仿宋_GB2312" w:eastAsia="仿宋_GB2312" w:hint="eastAsia"/>
          <w:color w:val="000000"/>
          <w:sz w:val="32"/>
          <w:szCs w:val="32"/>
        </w:rPr>
        <w:t>2</w:t>
      </w:r>
      <w:r w:rsidR="00743479">
        <w:rPr>
          <w:rFonts w:ascii="仿宋_GB2312" w:eastAsia="仿宋_GB2312" w:hint="eastAsia"/>
          <w:color w:val="000000"/>
          <w:sz w:val="32"/>
          <w:szCs w:val="32"/>
        </w:rPr>
        <w:t>2</w:t>
      </w:r>
      <w:r>
        <w:rPr>
          <w:rFonts w:ascii="仿宋_GB2312" w:eastAsia="仿宋_GB2312" w:hint="eastAsia"/>
          <w:color w:val="000000"/>
          <w:sz w:val="32"/>
          <w:szCs w:val="32"/>
        </w:rPr>
        <w:t>辆</w:t>
      </w:r>
      <w:r w:rsidR="008927B3">
        <w:rPr>
          <w:rFonts w:ascii="仿宋_GB2312" w:eastAsia="仿宋_GB2312" w:hint="eastAsia"/>
          <w:color w:val="000000"/>
          <w:sz w:val="32"/>
          <w:szCs w:val="32"/>
        </w:rPr>
        <w:t>，</w:t>
      </w:r>
      <w:r w:rsidR="00743479">
        <w:rPr>
          <w:rFonts w:ascii="仿宋_GB2312" w:eastAsia="仿宋_GB2312" w:hint="eastAsia"/>
          <w:color w:val="000000"/>
          <w:sz w:val="32"/>
          <w:szCs w:val="32"/>
        </w:rPr>
        <w:t>特种设备用车3辆，</w:t>
      </w:r>
      <w:r>
        <w:rPr>
          <w:rFonts w:ascii="仿宋_GB2312" w:eastAsia="仿宋_GB2312" w:hint="eastAsia"/>
          <w:color w:val="000000" w:themeColor="text1"/>
          <w:sz w:val="32"/>
          <w:szCs w:val="32"/>
        </w:rPr>
        <w:t>主要是用于</w:t>
      </w:r>
      <w:r w:rsidR="008927B3">
        <w:rPr>
          <w:rFonts w:ascii="仿宋_GB2312" w:eastAsia="仿宋_GB2312" w:hint="eastAsia"/>
          <w:color w:val="000000" w:themeColor="text1"/>
          <w:sz w:val="32"/>
          <w:szCs w:val="32"/>
        </w:rPr>
        <w:t>日产执法办案工作中。</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8927B3" w:rsidRPr="00FC074A" w:rsidRDefault="008927B3" w:rsidP="008927B3">
      <w:pPr>
        <w:spacing w:line="560" w:lineRule="exact"/>
        <w:ind w:firstLineChars="200" w:firstLine="640"/>
        <w:rPr>
          <w:rFonts w:asciiTheme="minorEastAsia" w:eastAsiaTheme="minorEastAsia" w:hAnsiTheme="minorEastAsia"/>
          <w:sz w:val="32"/>
          <w:szCs w:val="32"/>
        </w:rPr>
      </w:pPr>
      <w:r w:rsidRPr="00FC074A">
        <w:rPr>
          <w:rFonts w:asciiTheme="minorEastAsia" w:eastAsiaTheme="minorEastAsia" w:hAnsiTheme="minorEastAsia" w:hint="eastAsia"/>
          <w:sz w:val="32"/>
          <w:szCs w:val="32"/>
        </w:rPr>
        <w:t>广汉市市场监督管理局高度重视</w:t>
      </w:r>
      <w:proofErr w:type="gramStart"/>
      <w:r w:rsidRPr="00FC074A">
        <w:rPr>
          <w:rFonts w:asciiTheme="minorEastAsia" w:eastAsiaTheme="minorEastAsia" w:hAnsiTheme="minorEastAsia" w:hint="eastAsia"/>
          <w:sz w:val="32"/>
          <w:szCs w:val="32"/>
        </w:rPr>
        <w:t>此次部门</w:t>
      </w:r>
      <w:proofErr w:type="gramEnd"/>
      <w:r w:rsidRPr="00FC074A">
        <w:rPr>
          <w:rFonts w:asciiTheme="minorEastAsia" w:eastAsiaTheme="minorEastAsia" w:hAnsiTheme="minorEastAsia" w:hint="eastAsia"/>
          <w:sz w:val="32"/>
          <w:szCs w:val="32"/>
        </w:rPr>
        <w:t>预算支出绩效评价工作，遵循“实事求是、尊重客观、力求准确”的原则，积极组织财务人员对20</w:t>
      </w:r>
      <w:r w:rsidR="003503CE">
        <w:rPr>
          <w:rFonts w:asciiTheme="minorEastAsia" w:eastAsiaTheme="minorEastAsia" w:hAnsiTheme="minorEastAsia" w:hint="eastAsia"/>
          <w:sz w:val="32"/>
          <w:szCs w:val="32"/>
        </w:rPr>
        <w:t>20</w:t>
      </w:r>
      <w:r w:rsidRPr="00FC074A">
        <w:rPr>
          <w:rFonts w:asciiTheme="minorEastAsia" w:eastAsiaTheme="minorEastAsia" w:hAnsiTheme="minorEastAsia" w:hint="eastAsia"/>
          <w:sz w:val="32"/>
          <w:szCs w:val="32"/>
        </w:rPr>
        <w:t>年部门预算支出绩效进行评价。通过此次绩效评价，有利于我单位进一步合理高效使用</w:t>
      </w:r>
      <w:r w:rsidRPr="00FC074A">
        <w:rPr>
          <w:rFonts w:asciiTheme="minorEastAsia" w:eastAsiaTheme="minorEastAsia" w:hAnsiTheme="minorEastAsia" w:hint="eastAsia"/>
          <w:sz w:val="32"/>
          <w:szCs w:val="32"/>
        </w:rPr>
        <w:lastRenderedPageBreak/>
        <w:t>财政资金，避免财政资金支出的随意性和盲目性。</w:t>
      </w:r>
    </w:p>
    <w:p w:rsidR="008927B3" w:rsidRPr="00FC074A" w:rsidRDefault="008927B3" w:rsidP="008927B3">
      <w:pPr>
        <w:spacing w:line="560" w:lineRule="exact"/>
        <w:ind w:firstLineChars="200" w:firstLine="640"/>
        <w:rPr>
          <w:rFonts w:asciiTheme="minorEastAsia" w:eastAsiaTheme="minorEastAsia" w:hAnsiTheme="minorEastAsia"/>
          <w:sz w:val="32"/>
          <w:szCs w:val="32"/>
        </w:rPr>
      </w:pPr>
      <w:r w:rsidRPr="00FC074A">
        <w:rPr>
          <w:rFonts w:asciiTheme="minorEastAsia" w:eastAsiaTheme="minorEastAsia" w:hAnsiTheme="minorEastAsia" w:hint="eastAsia"/>
          <w:sz w:val="32"/>
          <w:szCs w:val="32"/>
        </w:rPr>
        <w:t>20</w:t>
      </w:r>
      <w:r w:rsidR="003503CE">
        <w:rPr>
          <w:rFonts w:asciiTheme="minorEastAsia" w:eastAsiaTheme="minorEastAsia" w:hAnsiTheme="minorEastAsia" w:hint="eastAsia"/>
          <w:sz w:val="32"/>
          <w:szCs w:val="32"/>
        </w:rPr>
        <w:t>20</w:t>
      </w:r>
      <w:bookmarkStart w:id="46" w:name="_GoBack"/>
      <w:bookmarkEnd w:id="46"/>
      <w:r w:rsidRPr="00FC074A">
        <w:rPr>
          <w:rFonts w:asciiTheme="minorEastAsia" w:eastAsiaTheme="minorEastAsia" w:hAnsiTheme="minorEastAsia" w:hint="eastAsia"/>
          <w:sz w:val="32"/>
          <w:szCs w:val="32"/>
        </w:rPr>
        <w:t>年广汉市市场监督管理局在上级主管部门和当地党委政府的大力支持下，做好市场主体的</w:t>
      </w:r>
      <w:proofErr w:type="gramStart"/>
      <w:r w:rsidRPr="00FC074A">
        <w:rPr>
          <w:rFonts w:asciiTheme="minorEastAsia" w:eastAsiaTheme="minorEastAsia" w:hAnsiTheme="minorEastAsia" w:hint="eastAsia"/>
          <w:sz w:val="32"/>
          <w:szCs w:val="32"/>
        </w:rPr>
        <w:t>登注册</w:t>
      </w:r>
      <w:proofErr w:type="gramEnd"/>
      <w:r w:rsidRPr="00FC074A">
        <w:rPr>
          <w:rFonts w:asciiTheme="minorEastAsia" w:eastAsiaTheme="minorEastAsia" w:hAnsiTheme="minorEastAsia" w:hint="eastAsia"/>
          <w:sz w:val="32"/>
          <w:szCs w:val="32"/>
        </w:rPr>
        <w:t>和监督管理、依法查处取缔无照经营行为了；承担依法规范和维护各类市场经营秩序的责任；依法组织监督市场竞争行为，查处不正当竞争、传销等经济违法行为了；依法保护消费者合法权益，组织查处侵犯消费者合法权益案件；受理全市12315消费者投诉；依法对广告和广告经营活动实施监督管理；负责商标管理工作，查处商标侵权案件；组织指导企业、个体工商户信用分类管理和监督管理；依法对产品质量检验检测机构进行监督管理、依法监督管理特种设备注册登记,监督检查高耗能特种设备节能标准的执行情况。</w:t>
      </w:r>
    </w:p>
    <w:p w:rsidR="008927B3" w:rsidRPr="00FC074A" w:rsidRDefault="008927B3" w:rsidP="008927B3">
      <w:pPr>
        <w:adjustRightInd w:val="0"/>
        <w:snapToGrid w:val="0"/>
        <w:spacing w:line="560" w:lineRule="exact"/>
        <w:ind w:firstLine="720"/>
        <w:rPr>
          <w:rFonts w:asciiTheme="minorEastAsia" w:eastAsiaTheme="minorEastAsia" w:hAnsiTheme="minorEastAsia"/>
          <w:color w:val="000000"/>
          <w:sz w:val="32"/>
          <w:szCs w:val="32"/>
          <w:shd w:val="clear" w:color="auto" w:fill="FFFFFF"/>
          <w:lang w:val="zh-CN"/>
        </w:rPr>
      </w:pPr>
      <w:r w:rsidRPr="00FC074A">
        <w:rPr>
          <w:rFonts w:asciiTheme="minorEastAsia" w:eastAsiaTheme="minorEastAsia" w:hAnsiTheme="minorEastAsia" w:hint="eastAsia"/>
          <w:color w:val="000000"/>
          <w:sz w:val="32"/>
          <w:szCs w:val="32"/>
          <w:shd w:val="clear" w:color="auto" w:fill="FFFFFF"/>
          <w:lang w:val="zh-CN"/>
        </w:rPr>
        <w:t>（一）评价结论。</w:t>
      </w:r>
    </w:p>
    <w:p w:rsidR="008927B3" w:rsidRPr="00FC074A" w:rsidRDefault="008927B3" w:rsidP="008927B3">
      <w:pPr>
        <w:adjustRightInd w:val="0"/>
        <w:snapToGrid w:val="0"/>
        <w:spacing w:line="560" w:lineRule="exact"/>
        <w:ind w:firstLine="720"/>
        <w:rPr>
          <w:rFonts w:asciiTheme="minorEastAsia" w:eastAsiaTheme="minorEastAsia" w:hAnsiTheme="minorEastAsia"/>
          <w:color w:val="000000"/>
          <w:sz w:val="32"/>
          <w:szCs w:val="32"/>
          <w:shd w:val="clear" w:color="auto" w:fill="FFFFFF"/>
        </w:rPr>
      </w:pPr>
      <w:r w:rsidRPr="00FC074A">
        <w:rPr>
          <w:rFonts w:asciiTheme="minorEastAsia" w:eastAsiaTheme="minorEastAsia" w:hAnsiTheme="minorEastAsia" w:hint="eastAsia"/>
          <w:color w:val="000000"/>
          <w:sz w:val="32"/>
          <w:szCs w:val="32"/>
          <w:shd w:val="clear" w:color="auto" w:fill="FFFFFF"/>
        </w:rPr>
        <w:t>预算制度执行总体较为有效、绩效管理总的贯彻落实较好。</w:t>
      </w:r>
    </w:p>
    <w:p w:rsidR="008927B3" w:rsidRPr="00FC074A" w:rsidRDefault="008927B3" w:rsidP="008927B3">
      <w:pPr>
        <w:adjustRightInd w:val="0"/>
        <w:snapToGrid w:val="0"/>
        <w:spacing w:line="560" w:lineRule="exact"/>
        <w:ind w:firstLine="720"/>
        <w:rPr>
          <w:rFonts w:asciiTheme="minorEastAsia" w:eastAsiaTheme="minorEastAsia" w:hAnsiTheme="minorEastAsia"/>
          <w:color w:val="000000"/>
          <w:sz w:val="32"/>
          <w:szCs w:val="32"/>
          <w:shd w:val="clear" w:color="auto" w:fill="FFFFFF"/>
          <w:lang w:val="zh-CN"/>
        </w:rPr>
      </w:pPr>
      <w:r w:rsidRPr="00FC074A">
        <w:rPr>
          <w:rFonts w:asciiTheme="minorEastAsia" w:eastAsiaTheme="minorEastAsia" w:hAnsiTheme="minorEastAsia" w:hint="eastAsia"/>
          <w:color w:val="000000"/>
          <w:sz w:val="32"/>
          <w:szCs w:val="32"/>
          <w:shd w:val="clear" w:color="auto" w:fill="FFFFFF"/>
          <w:lang w:val="zh-CN"/>
        </w:rPr>
        <w:t>（二）存在问题。</w:t>
      </w:r>
    </w:p>
    <w:p w:rsidR="008927B3" w:rsidRPr="00FC074A" w:rsidRDefault="008927B3" w:rsidP="008927B3">
      <w:pPr>
        <w:adjustRightInd w:val="0"/>
        <w:snapToGrid w:val="0"/>
        <w:spacing w:line="560" w:lineRule="exact"/>
        <w:ind w:firstLine="720"/>
        <w:rPr>
          <w:rFonts w:asciiTheme="minorEastAsia" w:eastAsiaTheme="minorEastAsia" w:hAnsiTheme="minorEastAsia"/>
          <w:color w:val="000000"/>
          <w:sz w:val="32"/>
          <w:szCs w:val="32"/>
          <w:shd w:val="clear" w:color="auto" w:fill="FFFFFF"/>
          <w:lang w:val="zh-CN"/>
        </w:rPr>
      </w:pPr>
      <w:r w:rsidRPr="00FC074A">
        <w:rPr>
          <w:rFonts w:asciiTheme="minorEastAsia" w:eastAsiaTheme="minorEastAsia" w:hAnsiTheme="minorEastAsia" w:hint="eastAsia"/>
          <w:sz w:val="32"/>
          <w:szCs w:val="32"/>
        </w:rPr>
        <w:t>预算制度执行仍需进一步强化。因内控各相对岗位缺乏相应的人，一些权责落实不是很到位，未能充分发挥内部控制管理的监督运行机制</w:t>
      </w:r>
    </w:p>
    <w:p w:rsidR="008927B3" w:rsidRPr="00FC074A" w:rsidRDefault="008927B3" w:rsidP="008927B3">
      <w:pPr>
        <w:spacing w:line="560" w:lineRule="exact"/>
        <w:ind w:firstLineChars="225" w:firstLine="720"/>
        <w:rPr>
          <w:rFonts w:asciiTheme="minorEastAsia" w:eastAsiaTheme="minorEastAsia" w:hAnsiTheme="minorEastAsia"/>
          <w:color w:val="000000"/>
          <w:sz w:val="32"/>
          <w:szCs w:val="32"/>
          <w:shd w:val="clear" w:color="auto" w:fill="FFFFFF"/>
          <w:lang w:val="zh-CN"/>
        </w:rPr>
      </w:pPr>
      <w:r w:rsidRPr="00FC074A">
        <w:rPr>
          <w:rFonts w:asciiTheme="minorEastAsia" w:eastAsiaTheme="minorEastAsia" w:hAnsiTheme="minorEastAsia" w:hint="eastAsia"/>
          <w:color w:val="000000"/>
          <w:sz w:val="32"/>
          <w:szCs w:val="32"/>
          <w:shd w:val="clear" w:color="auto" w:fill="FFFFFF"/>
          <w:lang w:val="zh-CN"/>
        </w:rPr>
        <w:t>（三）改进建议。</w:t>
      </w:r>
    </w:p>
    <w:p w:rsidR="008927B3" w:rsidRPr="00FC074A" w:rsidRDefault="008927B3" w:rsidP="008927B3">
      <w:pPr>
        <w:spacing w:line="560" w:lineRule="exact"/>
        <w:ind w:firstLineChars="225" w:firstLine="720"/>
        <w:rPr>
          <w:rFonts w:asciiTheme="minorEastAsia" w:eastAsiaTheme="minorEastAsia" w:hAnsiTheme="minorEastAsia"/>
          <w:color w:val="000000"/>
          <w:sz w:val="32"/>
          <w:szCs w:val="32"/>
          <w:shd w:val="clear" w:color="auto" w:fill="FFFFFF"/>
        </w:rPr>
      </w:pPr>
      <w:r w:rsidRPr="00FC074A">
        <w:rPr>
          <w:rFonts w:asciiTheme="minorEastAsia" w:eastAsiaTheme="minorEastAsia" w:hAnsiTheme="minorEastAsia" w:hint="eastAsia"/>
          <w:color w:val="000000"/>
          <w:sz w:val="32"/>
          <w:szCs w:val="32"/>
          <w:shd w:val="clear" w:color="auto" w:fill="FFFFFF"/>
        </w:rPr>
        <w:t>预算管理不够细化。在预算管理过程中，需加强全局内设机构的协调联动，保证预算编制的合理与精细，做好、做细预算编制工作。科学编制预算方案，严格审核预算方案，认真执行，强化监督。</w:t>
      </w:r>
    </w:p>
    <w:p w:rsidR="008927B3" w:rsidRPr="008927B3" w:rsidRDefault="008927B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47" w:name="_Toc15396613"/>
      <w:bookmarkStart w:id="48"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47"/>
      <w:bookmarkEnd w:id="48"/>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49" w:name="_Toc15377226"/>
      <w:r>
        <w:rPr>
          <w:rFonts w:ascii="宋体"/>
          <w:b/>
          <w:color w:val="000000"/>
          <w:sz w:val="44"/>
          <w:szCs w:val="44"/>
        </w:rPr>
        <w:br w:type="page"/>
      </w:r>
      <w:bookmarkStart w:id="50"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0"/>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XX</w:t>
      </w:r>
      <w:r w:rsidRPr="00833962">
        <w:rPr>
          <w:rFonts w:ascii="方正小标宋简体" w:eastAsia="方正小标宋简体" w:hAnsi="宋体" w:hint="eastAsia"/>
          <w:color w:val="000000"/>
          <w:kern w:val="0"/>
          <w:sz w:val="40"/>
          <w:szCs w:val="44"/>
          <w:lang w:val="zh-CN"/>
        </w:rPr>
        <w:t>部门</w:t>
      </w:r>
      <w:r w:rsidRPr="00833962">
        <w:rPr>
          <w:rFonts w:ascii="方正小标宋简体" w:eastAsia="方正小标宋简体" w:hAnsi="宋体"/>
          <w:color w:val="000000"/>
          <w:kern w:val="0"/>
          <w:sz w:val="40"/>
          <w:szCs w:val="44"/>
        </w:rPr>
        <w:t>2019年部门</w:t>
      </w:r>
      <w:r w:rsidRPr="00833962">
        <w:rPr>
          <w:rFonts w:ascii="方正小标宋简体" w:eastAsia="方正小标宋简体" w:hAnsi="宋体" w:hint="eastAsia"/>
          <w:color w:val="000000"/>
          <w:kern w:val="0"/>
          <w:sz w:val="40"/>
          <w:szCs w:val="44"/>
          <w:lang w:val="zh-CN"/>
        </w:rPr>
        <w:t>整体支出绩效评价报告</w:t>
      </w:r>
    </w:p>
    <w:p w:rsidR="00070A43" w:rsidRDefault="00070A43" w:rsidP="00070A43">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070A43" w:rsidRDefault="00070A43" w:rsidP="00070A43">
      <w:pPr>
        <w:spacing w:line="600" w:lineRule="exact"/>
        <w:rPr>
          <w:rFonts w:ascii="宋体" w:hAnsi="宋体"/>
          <w:sz w:val="32"/>
          <w:szCs w:val="32"/>
          <w:lang w:val="zh-CN"/>
        </w:rPr>
      </w:pPr>
    </w:p>
    <w:p w:rsidR="00070A43" w:rsidRDefault="00070A43"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w:t>
      </w:r>
      <w:proofErr w:type="gramStart"/>
      <w:r>
        <w:rPr>
          <w:rFonts w:ascii="仿宋_GB2312" w:eastAsia="仿宋_GB2312" w:hAnsi="宋体" w:hint="eastAsia"/>
          <w:sz w:val="32"/>
          <w:szCs w:val="32"/>
          <w:lang w:val="zh-CN"/>
        </w:rPr>
        <w:t>作出</w:t>
      </w:r>
      <w:proofErr w:type="gramEnd"/>
      <w:r>
        <w:rPr>
          <w:rFonts w:ascii="仿宋_GB2312" w:eastAsia="仿宋_GB2312" w:hAnsi="宋体" w:hint="eastAsia"/>
          <w:sz w:val="32"/>
          <w:szCs w:val="32"/>
          <w:lang w:val="zh-CN"/>
        </w:rPr>
        <w:t>分析说明。</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合法、是否与预算相符，并对自评中发现的相关问题进行分析说明。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单位执行相关法律法规及项目管理制度等情况，如招投标、政府采购、项目公示制等相关规定。</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70A43" w:rsidRDefault="00070A43" w:rsidP="00070A4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1"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49"/>
      <w:bookmarkEnd w:id="51"/>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52" w:name="_Toc15396619"/>
      <w:r>
        <w:rPr>
          <w:rFonts w:ascii="仿宋" w:eastAsia="仿宋" w:hAnsi="仿宋" w:hint="eastAsia"/>
          <w:b w:val="0"/>
          <w:color w:val="000000"/>
        </w:rPr>
        <w:t>一、收</w:t>
      </w:r>
      <w:r>
        <w:rPr>
          <w:rStyle w:val="2Char"/>
          <w:rFonts w:ascii="仿宋" w:eastAsia="仿宋" w:hAnsi="仿宋" w:hint="eastAsia"/>
        </w:rPr>
        <w:t>入支出决算总表</w:t>
      </w:r>
      <w:bookmarkEnd w:id="52"/>
    </w:p>
    <w:p w:rsidR="005B5C64" w:rsidRDefault="00204CDE">
      <w:pPr>
        <w:pStyle w:val="2"/>
        <w:rPr>
          <w:rFonts w:ascii="仿宋" w:eastAsia="仿宋" w:hAnsi="仿宋"/>
          <w:color w:val="000000"/>
        </w:rPr>
      </w:pPr>
      <w:bookmarkStart w:id="53"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53"/>
    </w:p>
    <w:p w:rsidR="005B5C64" w:rsidRDefault="00204CDE">
      <w:pPr>
        <w:pStyle w:val="2"/>
        <w:rPr>
          <w:rFonts w:ascii="仿宋" w:eastAsia="仿宋" w:hAnsi="仿宋"/>
          <w:color w:val="000000"/>
        </w:rPr>
      </w:pPr>
      <w:bookmarkStart w:id="5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54"/>
    </w:p>
    <w:p w:rsidR="005B5C64" w:rsidRDefault="00204CDE">
      <w:pPr>
        <w:pStyle w:val="2"/>
        <w:rPr>
          <w:rFonts w:ascii="仿宋" w:eastAsia="仿宋" w:hAnsi="仿宋"/>
          <w:b w:val="0"/>
          <w:color w:val="000000"/>
        </w:rPr>
      </w:pPr>
      <w:bookmarkStart w:id="5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5"/>
    </w:p>
    <w:p w:rsidR="007D1682" w:rsidRDefault="00204CDE">
      <w:pPr>
        <w:pStyle w:val="2"/>
        <w:rPr>
          <w:rStyle w:val="2Char"/>
          <w:rFonts w:ascii="仿宋" w:eastAsia="仿宋" w:hAnsi="仿宋"/>
        </w:rPr>
      </w:pPr>
      <w:bookmarkStart w:id="5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7" w:name="_Toc15396624"/>
      <w:bookmarkEnd w:id="56"/>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7"/>
    </w:p>
    <w:p w:rsidR="005B5C64" w:rsidRDefault="00204CDE">
      <w:pPr>
        <w:pStyle w:val="2"/>
        <w:rPr>
          <w:rFonts w:ascii="仿宋" w:eastAsia="仿宋" w:hAnsi="仿宋"/>
          <w:color w:val="000000"/>
        </w:rPr>
      </w:pPr>
      <w:bookmarkStart w:id="5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8"/>
    </w:p>
    <w:p w:rsidR="005B5C64" w:rsidRDefault="00204CDE">
      <w:pPr>
        <w:pStyle w:val="2"/>
        <w:rPr>
          <w:rFonts w:ascii="仿宋" w:eastAsia="仿宋" w:hAnsi="仿宋"/>
          <w:color w:val="000000"/>
        </w:rPr>
      </w:pPr>
      <w:bookmarkStart w:id="5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9"/>
    </w:p>
    <w:p w:rsidR="005B5C64" w:rsidRDefault="00204CDE">
      <w:pPr>
        <w:pStyle w:val="2"/>
        <w:rPr>
          <w:rFonts w:ascii="仿宋" w:eastAsia="仿宋" w:hAnsi="仿宋"/>
          <w:color w:val="000000"/>
        </w:rPr>
      </w:pPr>
      <w:bookmarkStart w:id="6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0"/>
    </w:p>
    <w:p w:rsidR="005B5C64" w:rsidRDefault="00204CDE">
      <w:pPr>
        <w:pStyle w:val="2"/>
        <w:rPr>
          <w:rFonts w:ascii="仿宋" w:eastAsia="仿宋" w:hAnsi="仿宋"/>
          <w:color w:val="000000"/>
        </w:rPr>
      </w:pPr>
      <w:bookmarkStart w:id="6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1"/>
    </w:p>
    <w:p w:rsidR="005B5C64" w:rsidRDefault="00204CDE">
      <w:pPr>
        <w:pStyle w:val="2"/>
        <w:rPr>
          <w:rFonts w:ascii="仿宋" w:eastAsia="仿宋" w:hAnsi="仿宋"/>
          <w:color w:val="000000"/>
        </w:rPr>
      </w:pPr>
      <w:bookmarkStart w:id="6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2"/>
    </w:p>
    <w:p w:rsidR="005B5C64" w:rsidRDefault="00204CDE">
      <w:pPr>
        <w:pStyle w:val="2"/>
        <w:rPr>
          <w:rFonts w:ascii="仿宋" w:eastAsia="仿宋" w:hAnsi="仿宋"/>
          <w:color w:val="000000"/>
        </w:rPr>
      </w:pPr>
      <w:bookmarkStart w:id="6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3"/>
    </w:p>
    <w:p w:rsidR="005B5C64" w:rsidRDefault="00204CDE">
      <w:pPr>
        <w:pStyle w:val="2"/>
        <w:rPr>
          <w:rFonts w:ascii="仿宋" w:eastAsia="仿宋" w:hAnsi="仿宋"/>
          <w:color w:val="000000" w:themeColor="text1"/>
        </w:rPr>
      </w:pPr>
      <w:bookmarkStart w:id="6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4"/>
    </w:p>
    <w:sectPr w:rsidR="005B5C64" w:rsidSect="005B5C64">
      <w:headerReference w:type="default" r:id="rId10"/>
      <w:footerReference w:type="defaul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6E" w:rsidRDefault="0016586E" w:rsidP="005B5C64">
      <w:r>
        <w:separator/>
      </w:r>
    </w:p>
  </w:endnote>
  <w:endnote w:type="continuationSeparator" w:id="0">
    <w:p w:rsidR="0016586E" w:rsidRDefault="0016586E"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9014D" w:rsidRDefault="008C70C1">
        <w:pPr>
          <w:pStyle w:val="a5"/>
          <w:jc w:val="center"/>
        </w:pPr>
        <w:r>
          <w:fldChar w:fldCharType="begin"/>
        </w:r>
        <w:r w:rsidR="0059014D">
          <w:instrText>PAGE   \* MERGEFORMAT</w:instrText>
        </w:r>
        <w:r>
          <w:fldChar w:fldCharType="separate"/>
        </w:r>
        <w:r w:rsidR="003503CE" w:rsidRPr="003503CE">
          <w:rPr>
            <w:noProof/>
            <w:lang w:val="zh-CN"/>
          </w:rPr>
          <w:t>2</w:t>
        </w:r>
        <w:r>
          <w:fldChar w:fldCharType="end"/>
        </w:r>
      </w:p>
    </w:sdtContent>
  </w:sdt>
  <w:p w:rsidR="0059014D" w:rsidRDefault="00590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6E" w:rsidRDefault="0016586E" w:rsidP="005B5C64">
      <w:r>
        <w:separator/>
      </w:r>
    </w:p>
  </w:footnote>
  <w:footnote w:type="continuationSeparator" w:id="0">
    <w:p w:rsidR="0016586E" w:rsidRDefault="0016586E"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4D" w:rsidRDefault="0059014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2C2D"/>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586E"/>
    <w:rsid w:val="00174518"/>
    <w:rsid w:val="0018106D"/>
    <w:rsid w:val="001877A7"/>
    <w:rsid w:val="00191536"/>
    <w:rsid w:val="00196687"/>
    <w:rsid w:val="001A5244"/>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503CE"/>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4F8"/>
    <w:rsid w:val="00443880"/>
    <w:rsid w:val="004464F4"/>
    <w:rsid w:val="004477C1"/>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1117"/>
    <w:rsid w:val="0062270A"/>
    <w:rsid w:val="00622830"/>
    <w:rsid w:val="00623DA0"/>
    <w:rsid w:val="00630AEF"/>
    <w:rsid w:val="006325F8"/>
    <w:rsid w:val="00633463"/>
    <w:rsid w:val="00634C9A"/>
    <w:rsid w:val="00634F79"/>
    <w:rsid w:val="006440E4"/>
    <w:rsid w:val="0066343B"/>
    <w:rsid w:val="00664777"/>
    <w:rsid w:val="006748A4"/>
    <w:rsid w:val="00675626"/>
    <w:rsid w:val="00681A31"/>
    <w:rsid w:val="00683E73"/>
    <w:rsid w:val="006A3141"/>
    <w:rsid w:val="006A3217"/>
    <w:rsid w:val="006A5E34"/>
    <w:rsid w:val="006B2422"/>
    <w:rsid w:val="006B2B9A"/>
    <w:rsid w:val="006C1937"/>
    <w:rsid w:val="006C51C6"/>
    <w:rsid w:val="006F020C"/>
    <w:rsid w:val="007127B7"/>
    <w:rsid w:val="0071798E"/>
    <w:rsid w:val="00727533"/>
    <w:rsid w:val="007416B6"/>
    <w:rsid w:val="00743479"/>
    <w:rsid w:val="00746F48"/>
    <w:rsid w:val="0075404D"/>
    <w:rsid w:val="0076182A"/>
    <w:rsid w:val="00767B7E"/>
    <w:rsid w:val="007770C3"/>
    <w:rsid w:val="00784D24"/>
    <w:rsid w:val="00785FBA"/>
    <w:rsid w:val="00786E4A"/>
    <w:rsid w:val="007875EB"/>
    <w:rsid w:val="00787907"/>
    <w:rsid w:val="0079426B"/>
    <w:rsid w:val="007D1682"/>
    <w:rsid w:val="007D312A"/>
    <w:rsid w:val="007D3F19"/>
    <w:rsid w:val="007E23B0"/>
    <w:rsid w:val="007F1991"/>
    <w:rsid w:val="007F2C2F"/>
    <w:rsid w:val="007F55FC"/>
    <w:rsid w:val="007F5665"/>
    <w:rsid w:val="00800112"/>
    <w:rsid w:val="00813348"/>
    <w:rsid w:val="00823A58"/>
    <w:rsid w:val="008253BB"/>
    <w:rsid w:val="00833962"/>
    <w:rsid w:val="0083706E"/>
    <w:rsid w:val="008408F6"/>
    <w:rsid w:val="008423A5"/>
    <w:rsid w:val="00850625"/>
    <w:rsid w:val="00853718"/>
    <w:rsid w:val="00855221"/>
    <w:rsid w:val="00860645"/>
    <w:rsid w:val="008616BC"/>
    <w:rsid w:val="00871F71"/>
    <w:rsid w:val="00872FD8"/>
    <w:rsid w:val="00885AF4"/>
    <w:rsid w:val="008927B3"/>
    <w:rsid w:val="008939CD"/>
    <w:rsid w:val="008B768C"/>
    <w:rsid w:val="008C4DB1"/>
    <w:rsid w:val="008C4EAF"/>
    <w:rsid w:val="008C5176"/>
    <w:rsid w:val="008C70C1"/>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541C"/>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167A"/>
    <w:rsid w:val="00B841F1"/>
    <w:rsid w:val="00B944D6"/>
    <w:rsid w:val="00B9797E"/>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3F0A"/>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2895"/>
    <w:rsid w:val="00D7035F"/>
    <w:rsid w:val="00D71C2C"/>
    <w:rsid w:val="00DA4642"/>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AFA"/>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E53E6"/>
    <w:rsid w:val="00EF4C34"/>
    <w:rsid w:val="00EF77C6"/>
    <w:rsid w:val="00F05438"/>
    <w:rsid w:val="00F1361C"/>
    <w:rsid w:val="00F156F0"/>
    <w:rsid w:val="00F160C7"/>
    <w:rsid w:val="00F2408F"/>
    <w:rsid w:val="00F240E9"/>
    <w:rsid w:val="00F30C74"/>
    <w:rsid w:val="00F36D8F"/>
    <w:rsid w:val="00F417B1"/>
    <w:rsid w:val="00F4334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3">
    <w:name w:val="普通(网站) Char"/>
    <w:basedOn w:val="a"/>
    <w:rsid w:val="009F541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3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61210-DA69-4DD8-8123-619FE184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1254</Words>
  <Characters>7154</Characters>
  <Application>Microsoft Office Word</Application>
  <DocSecurity>0</DocSecurity>
  <Lines>59</Lines>
  <Paragraphs>16</Paragraphs>
  <ScaleCrop>false</ScaleCrop>
  <Company>四川省财政厅</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杨彬</cp:lastModifiedBy>
  <cp:revision>22</cp:revision>
  <cp:lastPrinted>2020-07-23T02:58:00Z</cp:lastPrinted>
  <dcterms:created xsi:type="dcterms:W3CDTF">2020-10-20T08:19:00Z</dcterms:created>
  <dcterms:modified xsi:type="dcterms:W3CDTF">2021-10-21T03:27:00Z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