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475"/>
      <w:bookmarkStart w:id="4" w:name="_Toc15396597"/>
      <w:bookmarkStart w:id="5" w:name="_Toc15378441"/>
      <w:bookmarkStart w:id="75" w:name="_GoBack"/>
      <w:r>
        <w:rPr>
          <w:rFonts w:ascii="黑体" w:hAnsi="黑体" w:eastAsia="黑体" w:cs="黑体"/>
          <w:color w:val="000000"/>
          <w:sz w:val="72"/>
          <w:szCs w:val="72"/>
        </w:rPr>
        <w:t>2018</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7194"/>
      <w:bookmarkStart w:id="8" w:name="_Toc15378442"/>
      <w:bookmarkStart w:id="9" w:name="_Toc15396476"/>
      <w:bookmarkStart w:id="10" w:name="_Toc15396598"/>
      <w:r>
        <w:rPr>
          <w:rFonts w:hint="eastAsia" w:ascii="方正小标宋简体" w:hAnsi="宋体" w:eastAsia="方正小标宋简体" w:cs="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广汉市教育局部门决算</w:t>
      </w:r>
      <w:bookmarkEnd w:id="6"/>
      <w:bookmarkEnd w:id="7"/>
      <w:bookmarkEnd w:id="8"/>
      <w:bookmarkEnd w:id="9"/>
      <w:bookmarkEnd w:id="10"/>
      <w:bookmarkEnd w:id="11"/>
    </w:p>
    <w:bookmarkEnd w:id="75"/>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widowControl/>
        <w:jc w:val="center"/>
        <w:rPr>
          <w:rFonts w:ascii="黑体" w:hAnsi="黑体" w:eastAsia="黑体"/>
          <w:sz w:val="28"/>
          <w:szCs w:val="28"/>
        </w:rPr>
      </w:pPr>
      <w:r>
        <w:rPr>
          <w:rFonts w:ascii="黑体" w:hAnsi="黑体" w:eastAsia="黑体" w:cs="黑体"/>
          <w:color w:val="000000"/>
          <w:sz w:val="48"/>
          <w:szCs w:val="48"/>
        </w:rPr>
        <w:fldChar w:fldCharType="begin"/>
      </w:r>
      <w:r>
        <w:rPr>
          <w:rFonts w:ascii="黑体" w:hAnsi="黑体" w:eastAsia="黑体" w:cs="黑体"/>
          <w:color w:val="000000"/>
          <w:sz w:val="48"/>
          <w:szCs w:val="48"/>
        </w:rPr>
        <w:instrText xml:space="preserve"> TOC \o "1-2" \h \z \u </w:instrText>
      </w:r>
      <w:r>
        <w:rPr>
          <w:rFonts w:ascii="黑体" w:hAnsi="黑体" w:eastAsia="黑体" w:cs="黑体"/>
          <w:color w:val="000000"/>
          <w:sz w:val="48"/>
          <w:szCs w:val="48"/>
        </w:rPr>
        <w:fldChar w:fldCharType="separate"/>
      </w:r>
    </w:p>
    <w:p>
      <w:pPr>
        <w:pStyle w:val="10"/>
        <w:rPr>
          <w:rFonts w:cs="Times New Roman"/>
        </w:rPr>
      </w:pPr>
      <w:r>
        <w:rPr>
          <w:rFonts w:hint="eastAsia"/>
        </w:rPr>
        <w:t>公开时间：</w:t>
      </w:r>
      <w:r>
        <w:t>2019</w:t>
      </w:r>
      <w:r>
        <w:rPr>
          <w:rFonts w:hint="eastAsia"/>
        </w:rPr>
        <w:t>年10月23日</w:t>
      </w:r>
    </w:p>
    <w:p/>
    <w:p>
      <w:pPr>
        <w:pStyle w:val="10"/>
        <w:rPr>
          <w:rFonts w:cs="Times New Roman"/>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rPr>
          <w:rFonts w:cs="Times New Roman"/>
        </w:rP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cs="仿宋"/>
          <w:sz w:val="28"/>
          <w:szCs w:val="28"/>
        </w:rPr>
        <w:t>一、基本职能及主要工作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cs="仿宋"/>
          <w:sz w:val="28"/>
          <w:szCs w:val="28"/>
        </w:rPr>
        <w:t>二、机构设置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_Toc15396601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rPr>
          <w:rFonts w:cs="Times New Roman"/>
        </w:rPr>
        <w:tab/>
      </w:r>
      <w:r>
        <w:fldChar w:fldCharType="begin"/>
      </w:r>
      <w:r>
        <w:instrText xml:space="preserve"> PAGEREF _Toc15396602 \h </w:instrText>
      </w:r>
      <w:r>
        <w:fldChar w:fldCharType="separate"/>
      </w:r>
      <w:r>
        <w:t>3</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cs="仿宋"/>
          <w:sz w:val="28"/>
          <w:szCs w:val="28"/>
        </w:rPr>
        <w:t>一、收入支出决算总体情况说明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_Toc15396603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cs="仿宋"/>
          <w:sz w:val="28"/>
          <w:szCs w:val="28"/>
        </w:rPr>
        <w:t>二、收入决算情况说明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_Toc15396604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cs="仿宋"/>
          <w:sz w:val="28"/>
          <w:szCs w:val="28"/>
        </w:rPr>
        <w:t>三、支出决算情况说明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_Toc15396605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cs="仿宋"/>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_Toc15396606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cs="仿宋"/>
          <w:sz w:val="28"/>
          <w:szCs w:val="28"/>
        </w:rPr>
        <w:t>五、一般公共预算财政拨款支出决算情况说明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_Toc15396607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cs="仿宋"/>
          <w:sz w:val="28"/>
          <w:szCs w:val="28"/>
        </w:rPr>
        <w:t>六、一般公共预算财政拨款基本支出决算情况说明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_Toc15396608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cs="仿宋"/>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_Toc15396609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cs="仿宋"/>
          <w:sz w:val="28"/>
          <w:szCs w:val="28"/>
        </w:rPr>
        <w:t>八、政府性基金预算支出决算情况说明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_Toc15396610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仿宋"/>
          <w:sz w:val="28"/>
          <w:szCs w:val="28"/>
        </w:rPr>
        <w:t>九、</w:t>
      </w:r>
      <w:r>
        <w:rPr>
          <w:rStyle w:val="15"/>
          <w:rFonts w:ascii="仿宋" w:hAnsi="仿宋" w:eastAsia="仿宋" w:cs="仿宋"/>
          <w:sz w:val="28"/>
          <w:szCs w:val="28"/>
        </w:rPr>
        <w:t xml:space="preserve"> </w:t>
      </w:r>
      <w:r>
        <w:rPr>
          <w:rStyle w:val="15"/>
          <w:rFonts w:hint="eastAsia" w:ascii="仿宋" w:hAnsi="仿宋" w:eastAsia="仿宋" w:cs="仿宋"/>
          <w:sz w:val="28"/>
          <w:szCs w:val="28"/>
        </w:rPr>
        <w:t>国有资本经营预算支出决算情况说明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_Toc15396611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cs="仿宋"/>
          <w:sz w:val="28"/>
          <w:szCs w:val="28"/>
        </w:rPr>
        <w:t>十一、其他重要事项的情况说明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_Toc15396612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"_Toc15396613" </w:instrText>
      </w:r>
      <w:r>
        <w:fldChar w:fldCharType="separate"/>
      </w:r>
      <w:r>
        <w:rPr>
          <w:rStyle w:val="15"/>
          <w:rFonts w:hint="eastAsia"/>
          <w:kern w:val="44"/>
        </w:rPr>
        <w:t>第三部分</w:t>
      </w:r>
      <w:r>
        <w:rPr>
          <w:rStyle w:val="15"/>
        </w:rPr>
        <w:t xml:space="preserve"> </w:t>
      </w:r>
      <w:r>
        <w:rPr>
          <w:rStyle w:val="15"/>
          <w:rFonts w:hint="eastAsia"/>
        </w:rPr>
        <w:t>名</w:t>
      </w:r>
      <w:r>
        <w:rPr>
          <w:rStyle w:val="15"/>
          <w:rFonts w:hint="eastAsia"/>
          <w:kern w:val="44"/>
        </w:rPr>
        <w:t>词解释</w:t>
      </w:r>
      <w:r>
        <w:rPr>
          <w:rFonts w:cs="Times New Roman"/>
        </w:rPr>
        <w:tab/>
      </w:r>
      <w:r>
        <w:fldChar w:fldCharType="begin"/>
      </w:r>
      <w:r>
        <w:instrText xml:space="preserve"> PAGEREF _Toc15396613 \h </w:instrText>
      </w:r>
      <w:r>
        <w:fldChar w:fldCharType="separate"/>
      </w:r>
      <w:r>
        <w:t>3</w:t>
      </w:r>
      <w:r>
        <w:fldChar w:fldCharType="end"/>
      </w:r>
      <w:r>
        <w:fldChar w:fldCharType="end"/>
      </w:r>
    </w:p>
    <w:p>
      <w:pPr>
        <w:pStyle w:val="10"/>
        <w:rPr>
          <w:rFonts w:cs="Times New Roman"/>
        </w:rPr>
      </w:pPr>
      <w:r>
        <w:fldChar w:fldCharType="begin"/>
      </w:r>
      <w:r>
        <w:instrText xml:space="preserve"> HYPERLINK \l "_Toc15396614" </w:instrText>
      </w:r>
      <w:r>
        <w:fldChar w:fldCharType="separate"/>
      </w:r>
      <w:r>
        <w:rPr>
          <w:rStyle w:val="15"/>
          <w:rFonts w:hint="eastAsia"/>
        </w:rPr>
        <w:t>第</w:t>
      </w:r>
      <w:r>
        <w:rPr>
          <w:rStyle w:val="15"/>
          <w:rFonts w:hint="eastAsia"/>
          <w:kern w:val="44"/>
        </w:rPr>
        <w:t>四部分</w:t>
      </w:r>
      <w:r>
        <w:rPr>
          <w:rStyle w:val="15"/>
          <w:kern w:val="44"/>
        </w:rPr>
        <w:t xml:space="preserve"> </w:t>
      </w:r>
      <w:r>
        <w:rPr>
          <w:rStyle w:val="15"/>
          <w:rFonts w:hint="eastAsia"/>
          <w:kern w:val="44"/>
        </w:rPr>
        <w:t>附件</w:t>
      </w:r>
      <w:r>
        <w:rPr>
          <w:rFonts w:cs="Times New Roman"/>
        </w:rPr>
        <w:tab/>
      </w:r>
      <w:r>
        <w:fldChar w:fldCharType="begin"/>
      </w:r>
      <w:r>
        <w:instrText xml:space="preserve"> PAGEREF _Toc15396614 \h </w:instrText>
      </w:r>
      <w:r>
        <w:fldChar w:fldCharType="separate"/>
      </w:r>
      <w:r>
        <w:t>3</w:t>
      </w:r>
      <w:r>
        <w:fldChar w:fldCharType="end"/>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1</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_Toc15396615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2</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_Toc15396617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"_Toc15396618" </w:instrText>
      </w:r>
      <w:r>
        <w:fldChar w:fldCharType="separate"/>
      </w:r>
      <w:r>
        <w:rPr>
          <w:rStyle w:val="15"/>
          <w:rFonts w:hint="eastAsia"/>
        </w:rPr>
        <w:t>第</w:t>
      </w:r>
      <w:r>
        <w:rPr>
          <w:rStyle w:val="15"/>
          <w:rFonts w:hint="eastAsia"/>
          <w:kern w:val="44"/>
        </w:rPr>
        <w:t>五部分</w:t>
      </w:r>
      <w:r>
        <w:rPr>
          <w:rStyle w:val="15"/>
          <w:kern w:val="44"/>
        </w:rPr>
        <w:t xml:space="preserve"> </w:t>
      </w:r>
      <w:r>
        <w:rPr>
          <w:rStyle w:val="15"/>
          <w:rFonts w:hint="eastAsia"/>
          <w:kern w:val="44"/>
        </w:rPr>
        <w:t>附表</w:t>
      </w:r>
      <w:r>
        <w:rPr>
          <w:rFonts w:cs="Times New Roman"/>
        </w:rPr>
        <w:tab/>
      </w:r>
      <w:r>
        <w:fldChar w:fldCharType="begin"/>
      </w:r>
      <w:r>
        <w:instrText xml:space="preserve"> PAGEREF _Toc15396618 \h </w:instrText>
      </w:r>
      <w:r>
        <w:fldChar w:fldCharType="separate"/>
      </w:r>
      <w:r>
        <w:t>3</w:t>
      </w:r>
      <w:r>
        <w:fldChar w:fldCharType="end"/>
      </w:r>
      <w:r>
        <w:fldChar w:fldCharType="end"/>
      </w:r>
    </w:p>
    <w:p>
      <w:pPr>
        <w:pStyle w:val="11"/>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5"/>
          <w:rFonts w:hint="eastAsia" w:ascii="仿宋" w:hAnsi="仿宋" w:eastAsia="仿宋" w:cs="仿宋"/>
          <w:sz w:val="28"/>
          <w:szCs w:val="28"/>
        </w:rPr>
        <w:t>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_Toc15396619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5"/>
          <w:rFonts w:hint="eastAsia" w:ascii="仿宋" w:hAnsi="仿宋" w:eastAsia="仿宋" w:cs="仿宋"/>
          <w:sz w:val="28"/>
          <w:szCs w:val="28"/>
        </w:rPr>
        <w:t>收入总表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_Toc15396620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5"/>
          <w:rFonts w:hint="eastAsia" w:ascii="仿宋" w:hAnsi="仿宋" w:eastAsia="仿宋" w:cs="仿宋"/>
          <w:sz w:val="28"/>
          <w:szCs w:val="28"/>
        </w:rPr>
        <w:t>支出总表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_Toc15396621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5"/>
          <w:rFonts w:hint="eastAsia" w:ascii="仿宋" w:hAnsi="仿宋" w:eastAsia="仿宋" w:cs="仿宋"/>
          <w:sz w:val="28"/>
          <w:szCs w:val="28"/>
        </w:rPr>
        <w:t>财政拨款收入支出决算总表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_Toc15396622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_Toc15396623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5"/>
          <w:rFonts w:hint="eastAsia" w:ascii="仿宋" w:hAnsi="仿宋" w:eastAsia="仿宋" w:cs="仿宋"/>
          <w:sz w:val="28"/>
          <w:szCs w:val="28"/>
        </w:rPr>
        <w:t>一般公共预算财政拨款支出决算表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_Toc15396624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5"/>
          <w:rFonts w:hint="eastAsia" w:ascii="仿宋" w:hAnsi="仿宋" w:eastAsia="仿宋" w:cs="仿宋"/>
          <w:sz w:val="28"/>
          <w:szCs w:val="28"/>
        </w:rPr>
        <w:t>一般公共预算财政拨款支出决算明细表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_Toc15396625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5"/>
          <w:rFonts w:hint="eastAsia" w:ascii="仿宋" w:hAnsi="仿宋" w:eastAsia="仿宋" w:cs="仿宋"/>
          <w:sz w:val="28"/>
          <w:szCs w:val="28"/>
        </w:rPr>
        <w:t>一般公共预算财政拨款基本支出决算表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_Toc15396626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5"/>
          <w:rFonts w:hint="eastAsia" w:ascii="仿宋" w:hAnsi="仿宋" w:eastAsia="仿宋" w:cs="仿宋"/>
          <w:sz w:val="28"/>
          <w:szCs w:val="28"/>
        </w:rPr>
        <w:t>一般公共预算财政拨款项目支出决算表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_Toc15396627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5"/>
          <w:rFonts w:hint="eastAsia" w:ascii="仿宋" w:hAnsi="仿宋" w:eastAsia="仿宋" w:cs="仿宋"/>
          <w:sz w:val="28"/>
          <w:szCs w:val="28"/>
        </w:rPr>
        <w:t>一般公共预算财政拨款“三公”经费支出决算表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_Toc15396628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5"/>
          <w:rFonts w:hint="eastAsia" w:ascii="仿宋" w:hAnsi="仿宋" w:eastAsia="仿宋" w:cs="仿宋"/>
          <w:sz w:val="28"/>
          <w:szCs w:val="28"/>
        </w:rPr>
        <w:t>政府性基金预算财政拨款收入支出决算表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_Toc15396629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5"/>
          <w:rFonts w:hint="eastAsia" w:ascii="仿宋" w:hAnsi="仿宋" w:eastAsia="仿宋" w:cs="仿宋"/>
          <w:sz w:val="28"/>
          <w:szCs w:val="28"/>
        </w:rPr>
        <w:t>政府性基金预算财政拨款“三公”经费支出决算表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_Toc15396630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rPr>
          <w:rFonts w:ascii="仿宋" w:hAnsi="仿宋" w:eastAsia="仿宋"/>
          <w:sz w:val="24"/>
          <w:szCs w:val="24"/>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5"/>
          <w:rFonts w:hint="eastAsia" w:ascii="仿宋" w:hAnsi="仿宋" w:eastAsia="仿宋" w:cs="仿宋"/>
          <w:sz w:val="28"/>
          <w:szCs w:val="28"/>
        </w:rPr>
        <w:t>国有资本经营预算支出决算表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_Toc15396631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pPr>
        <w:widowControl/>
        <w:jc w:val="left"/>
        <w:rPr>
          <w:rFonts w:ascii="仿宋" w:hAnsi="仿宋" w:eastAsia="仿宋"/>
          <w:color w:val="000000"/>
          <w:sz w:val="24"/>
          <w:szCs w:val="24"/>
        </w:rPr>
      </w:pPr>
      <w:r>
        <w:rPr>
          <w:rFonts w:ascii="黑体" w:hAnsi="黑体" w:eastAsia="黑体" w:cs="黑体"/>
          <w:color w:val="000000"/>
          <w:sz w:val="48"/>
          <w:szCs w:val="48"/>
        </w:rPr>
        <w:fldChar w:fldCharType="end"/>
      </w:r>
    </w:p>
    <w:p>
      <w:pPr>
        <w:widowControl/>
        <w:jc w:val="left"/>
        <w:rPr>
          <w:rFonts w:ascii="黑体" w:hAnsi="黑体" w:eastAsia="黑体"/>
          <w:kern w:val="44"/>
          <w:sz w:val="44"/>
          <w:szCs w:val="44"/>
        </w:rPr>
      </w:pPr>
      <w:bookmarkStart w:id="12" w:name="_Toc15377196"/>
      <w:bookmarkStart w:id="13" w:name="_Toc15396599"/>
      <w:r>
        <w:rPr>
          <w:rFonts w:ascii="黑体" w:hAnsi="黑体" w:eastAsia="黑体"/>
          <w:b/>
          <w:bCs/>
        </w:rPr>
        <w:br w:type="page"/>
      </w:r>
    </w:p>
    <w:p>
      <w:pPr>
        <w:pStyle w:val="2"/>
        <w:jc w:val="center"/>
        <w:rPr>
          <w:rStyle w:val="16"/>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6"/>
          <w:rFonts w:hint="eastAsia" w:ascii="黑体" w:hAnsi="黑体" w:eastAsia="黑体" w:cs="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cs="Times New Roman"/>
          <w:b w:val="0"/>
          <w:bCs w:val="0"/>
        </w:rPr>
      </w:pPr>
      <w:bookmarkStart w:id="14" w:name="_Toc15377197"/>
      <w:bookmarkStart w:id="15" w:name="_Toc15396600"/>
      <w:r>
        <w:rPr>
          <w:rFonts w:hint="eastAsia" w:ascii="黑体" w:hAnsi="黑体" w:eastAsia="黑体" w:cs="黑体"/>
          <w:b w:val="0"/>
          <w:bCs w:val="0"/>
          <w:color w:val="000000"/>
        </w:rPr>
        <w:t>一、基</w:t>
      </w:r>
      <w:r>
        <w:rPr>
          <w:rStyle w:val="17"/>
          <w:rFonts w:hint="eastAsia" w:ascii="黑体" w:hAnsi="黑体" w:eastAsia="黑体" w:cs="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cs="仿宋"/>
          <w:color w:val="000000"/>
          <w:sz w:val="32"/>
          <w:szCs w:val="32"/>
        </w:rPr>
      </w:pPr>
      <w:bookmarkStart w:id="16" w:name="_Toc15378445"/>
      <w:bookmarkStart w:id="17" w:name="_Toc15377198"/>
      <w:r>
        <w:rPr>
          <w:rFonts w:hint="eastAsia" w:ascii="仿宋" w:hAnsi="仿宋" w:eastAsia="仿宋" w:cs="仿宋"/>
          <w:color w:val="000000"/>
          <w:sz w:val="32"/>
          <w:szCs w:val="32"/>
        </w:rPr>
        <w:t>（一）主要职能。（职能参照省政府批准的三定方案）</w:t>
      </w:r>
      <w:bookmarkEnd w:id="16"/>
      <w:bookmarkEnd w:id="17"/>
    </w:p>
    <w:p>
      <w:pPr>
        <w:pStyle w:val="5"/>
        <w:adjustRightInd w:val="0"/>
        <w:snapToGrid w:val="0"/>
        <w:spacing w:before="93" w:line="600" w:lineRule="exact"/>
        <w:ind w:firstLine="672" w:firstLineChars="210"/>
        <w:outlineLvl w:val="2"/>
        <w:rPr>
          <w:rFonts w:ascii="仿宋" w:hAnsi="仿宋" w:eastAsia="仿宋"/>
          <w:color w:val="000000"/>
          <w:sz w:val="32"/>
          <w:szCs w:val="32"/>
        </w:rPr>
      </w:pPr>
      <w:bookmarkStart w:id="18" w:name="_Toc15377199"/>
      <w:bookmarkStart w:id="19" w:name="_Toc15378446"/>
      <w:r>
        <w:rPr>
          <w:rFonts w:hint="eastAsia" w:ascii="仿宋" w:hAnsi="仿宋" w:eastAsia="仿宋"/>
          <w:color w:val="000000"/>
          <w:sz w:val="32"/>
          <w:szCs w:val="32"/>
        </w:rPr>
        <w:t>我局主要职责是：</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1.指导各级各类学校全面贯彻教育方针，积极推进素质教育，规范学校办学行为，不断提高教育质量。</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2.制定全市教育改革与发展战略和全市教育事业发展规划；组织拟定加强基础教育，大力发展职业教育，全面实施素质教育，提高教育质量，促进教育公平的政策并贯彻实施。</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3.优化学校布局调整，努力解决教育资源不足问题，有效降低大班额比例，合理配置教育资源，促进区域内义务教育均衡发展。</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4.协调相关部门掌握全市教育经费投入情况及教育经费的管理使用情况；做好义务教育经费保障机制有关工作，全面落实“两免一补”；做好教师工资及绩效工资的发放。会同财政、审计部门加强对学校教育经费的检查。</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5.配合机构编制部门做好教职工编制动态调整及落实工作，按照省定编制及结构要求足额配备教师；指导各校做好教师职务评审、岗位管理、人员聘用、合同签订和培养培训等相关工作。按照公开招聘政策，做好中小学教师招聘工作，优化教师队伍结构，推进区域内教师均衡配置。加强师德师风建设，提高教师思想道德素质，加强学校领导班子和干部队伍建设，按干部管理权限考核选聘干部。加强校长和教师培训，确保教师编制、学历、教师资格、职称结构等符合相关要求。</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6.指导学校建立健全学校管理制度，加强校园绿化、美化、亮化、净化、文化建设，树立良好“校风、教风、学风”，提高管理水平。会同公安、司法、工商等部门加强校园及周边环境的治理，确保中小学校不发生重大安全责任事故；会同财政、物价、纪检监察部门规范学校收费行为。</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7.指导各乡镇政府和学校依法采取措施“控辍保学”，确保小学、初中的入学率、辍学率、完成率等各项普及指标达到国家和省上规定标准。会同有关部门落实国家和省市有关政策措施，抓好进城务工农民子女、留守儿童、残疾儿童和妇女童等弱势群体接受义务教育工作。配合统计部门摸清全市青壮年文盲基数。</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8.负责全市教育督导和评估工作。</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9.负责全市大中专招生和自学考试工作。</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10.承担市政府公布的有关行政审批事项。</w:t>
      </w:r>
    </w:p>
    <w:p>
      <w:pPr>
        <w:pStyle w:val="5"/>
        <w:adjustRightInd w:val="0"/>
        <w:snapToGrid w:val="0"/>
        <w:spacing w:before="93" w:line="600" w:lineRule="exact"/>
        <w:ind w:firstLine="672" w:firstLineChars="210"/>
        <w:outlineLvl w:val="2"/>
        <w:rPr>
          <w:rFonts w:ascii="仿宋" w:hAnsi="仿宋" w:eastAsia="仿宋"/>
          <w:color w:val="000000"/>
          <w:sz w:val="32"/>
          <w:szCs w:val="32"/>
        </w:rPr>
      </w:pPr>
      <w:r>
        <w:rPr>
          <w:rFonts w:hint="eastAsia" w:ascii="仿宋" w:hAnsi="仿宋" w:eastAsia="仿宋"/>
          <w:color w:val="000000"/>
          <w:sz w:val="32"/>
          <w:szCs w:val="32"/>
        </w:rPr>
        <w:t>11.承办市政府交办的其他事项。</w:t>
      </w:r>
    </w:p>
    <w:p>
      <w:pPr>
        <w:pStyle w:val="5"/>
        <w:adjustRightInd w:val="0"/>
        <w:snapToGrid w:val="0"/>
        <w:spacing w:before="93" w:line="600" w:lineRule="exact"/>
        <w:ind w:firstLine="672" w:firstLineChars="210"/>
        <w:outlineLvl w:val="2"/>
        <w:rPr>
          <w:rFonts w:ascii="仿宋" w:hAnsi="仿宋" w:eastAsia="仿宋" w:cs="仿宋"/>
          <w:color w:val="000000"/>
          <w:sz w:val="32"/>
          <w:szCs w:val="32"/>
        </w:rPr>
      </w:pPr>
      <w:r>
        <w:rPr>
          <w:rFonts w:hint="eastAsia" w:ascii="仿宋" w:hAnsi="仿宋" w:eastAsia="仿宋" w:cs="仿宋"/>
          <w:color w:val="000000"/>
          <w:sz w:val="32"/>
          <w:szCs w:val="32"/>
        </w:rPr>
        <w:t>（二）</w:t>
      </w:r>
      <w:r>
        <w:rPr>
          <w:rFonts w:ascii="仿宋" w:hAnsi="仿宋" w:eastAsia="仿宋" w:cs="仿宋"/>
          <w:color w:val="000000"/>
          <w:sz w:val="32"/>
          <w:szCs w:val="32"/>
        </w:rPr>
        <w:t>2018</w:t>
      </w:r>
      <w:r>
        <w:rPr>
          <w:rFonts w:hint="eastAsia" w:ascii="仿宋" w:hAnsi="仿宋" w:eastAsia="仿宋" w:cs="仿宋"/>
          <w:color w:val="000000"/>
          <w:sz w:val="32"/>
          <w:szCs w:val="32"/>
        </w:rPr>
        <w:t>年重点工作完成情况。</w:t>
      </w:r>
      <w:bookmarkEnd w:id="18"/>
      <w:bookmarkEnd w:id="19"/>
    </w:p>
    <w:p>
      <w:pPr>
        <w:pStyle w:val="3"/>
        <w:ind w:firstLine="640" w:firstLineChars="200"/>
        <w:rPr>
          <w:rFonts w:ascii="仿宋" w:hAnsi="仿宋" w:eastAsia="仿宋" w:cs="Times New Roman"/>
          <w:b w:val="0"/>
          <w:bCs w:val="0"/>
          <w:color w:val="000000"/>
          <w:kern w:val="0"/>
        </w:rPr>
      </w:pPr>
      <w:bookmarkStart w:id="20" w:name="_Toc15377200"/>
      <w:bookmarkStart w:id="21" w:name="_Toc15396601"/>
      <w:r>
        <w:rPr>
          <w:rFonts w:hint="eastAsia" w:ascii="仿宋" w:hAnsi="仿宋" w:eastAsia="仿宋" w:cs="Times New Roman"/>
          <w:b w:val="0"/>
          <w:bCs w:val="0"/>
          <w:color w:val="000000"/>
          <w:kern w:val="0"/>
        </w:rPr>
        <w:t>在市委、市政府的坚强领导下，教育局深入学习贯彻党的十九大精神，以习近平新时代中国特色社会主义思想为指导，落实立德树人根本任务，深化教育改革，发展素质教育，提高教育质量，推进教育公平，教育事业发展取得明显成效。</w:t>
      </w:r>
    </w:p>
    <w:p>
      <w:pPr>
        <w:pStyle w:val="3"/>
        <w:ind w:firstLine="640" w:firstLineChars="200"/>
        <w:rPr>
          <w:rFonts w:ascii="仿宋" w:hAnsi="仿宋" w:eastAsia="仿宋" w:cs="Times New Roman"/>
          <w:b w:val="0"/>
          <w:bCs w:val="0"/>
          <w:color w:val="000000"/>
          <w:kern w:val="0"/>
        </w:rPr>
      </w:pPr>
      <w:r>
        <w:rPr>
          <w:rFonts w:hint="eastAsia" w:ascii="仿宋" w:hAnsi="仿宋" w:eastAsia="仿宋" w:cs="Times New Roman"/>
          <w:b w:val="0"/>
          <w:bCs w:val="0"/>
          <w:color w:val="000000"/>
          <w:kern w:val="0"/>
        </w:rPr>
        <w:t>按照《教育法》的相关规定，我市教育经费2018年实现了“三个增长”。2016-2018年公共财政预算内教育经费增长比例分别达到7.61%、1.06%、3.2%，高于财政经常性收入增长比例；生均公共财政预算教育事业费支出分别达到8432.79元、8809.7元、8819.05元；生均公共财政预算内公用经费支出分别达到1353.64元、1469.26元、1575.75元。</w:t>
      </w:r>
    </w:p>
    <w:p>
      <w:pPr>
        <w:pStyle w:val="3"/>
        <w:ind w:firstLine="640" w:firstLineChars="200"/>
        <w:rPr>
          <w:rFonts w:ascii="仿宋" w:hAnsi="仿宋" w:eastAsia="仿宋" w:cs="Times New Roman"/>
          <w:b w:val="0"/>
          <w:bCs w:val="0"/>
          <w:color w:val="000000"/>
          <w:kern w:val="0"/>
        </w:rPr>
      </w:pPr>
      <w:r>
        <w:rPr>
          <w:rFonts w:hint="eastAsia" w:ascii="仿宋" w:hAnsi="仿宋" w:eastAsia="仿宋" w:cs="Times New Roman"/>
          <w:b w:val="0"/>
          <w:bCs w:val="0"/>
          <w:color w:val="000000"/>
          <w:kern w:val="0"/>
        </w:rPr>
        <w:t>2018年前已经竣工交付使用，资金在2018年支付的项目包括小汉幼儿园、金鱼中心校运动场、西高运动场改造工程等20个，建设面积35261平方米。2018年竣工交付使用的项目包括金轮镇幼儿园建设工程等10个，建设面积31068平方米。目前资金已经下达，项目正在上会和前期设计阶段的包括三水中心幼儿园新建活动室及附属工程等29个项目。</w:t>
      </w:r>
    </w:p>
    <w:p>
      <w:pPr>
        <w:pStyle w:val="3"/>
        <w:rPr>
          <w:rFonts w:ascii="仿宋" w:hAnsi="仿宋" w:eastAsia="仿宋" w:cs="Times New Roman"/>
          <w:b w:val="0"/>
          <w:bCs w:val="0"/>
          <w:color w:val="000000"/>
          <w:kern w:val="0"/>
        </w:rPr>
      </w:pPr>
      <w:r>
        <w:rPr>
          <w:rFonts w:hint="eastAsia" w:ascii="仿宋" w:hAnsi="仿宋" w:eastAsia="仿宋" w:cs="Times New Roman"/>
          <w:b w:val="0"/>
          <w:bCs w:val="0"/>
          <w:color w:val="000000"/>
          <w:kern w:val="0"/>
        </w:rPr>
        <w:t xml:space="preserve">    当年为新华中学、金轮中学、高坪幼儿园等7所学校、幼儿园采购设施设备4975台件套，支付采购资金436.74万元。</w:t>
      </w:r>
    </w:p>
    <w:p>
      <w:pPr>
        <w:pStyle w:val="3"/>
        <w:rPr>
          <w:rFonts w:ascii="仿宋" w:hAnsi="仿宋" w:eastAsia="仿宋" w:cs="Times New Roman"/>
          <w:b w:val="0"/>
          <w:bCs w:val="0"/>
          <w:color w:val="000000"/>
          <w:kern w:val="0"/>
        </w:rPr>
      </w:pPr>
      <w:r>
        <w:rPr>
          <w:rFonts w:hint="eastAsia" w:ascii="仿宋" w:hAnsi="仿宋" w:eastAsia="仿宋" w:cs="Times New Roman"/>
          <w:b w:val="0"/>
          <w:bCs w:val="0"/>
          <w:color w:val="000000"/>
          <w:kern w:val="0"/>
        </w:rPr>
        <w:t xml:space="preserve">    2018年教师节表彰中、高考和教学过程考核优秀教师789人，优秀团队5个；奖励骨干教师253人，培训教师3594人次；支持15个名师名校长名班主任工作室科研和人才培训；派遣184名保安人员入驻到53所中小学校、幼儿园；资助各级各类学生共43000人次。</w:t>
      </w:r>
    </w:p>
    <w:p>
      <w:pPr>
        <w:pStyle w:val="3"/>
        <w:rPr>
          <w:rStyle w:val="17"/>
          <w:rFonts w:cs="Times New Roman"/>
          <w:b w:val="0"/>
          <w:bCs w:val="0"/>
        </w:rPr>
      </w:pPr>
      <w:r>
        <w:rPr>
          <w:rFonts w:hint="eastAsia" w:ascii="黑体" w:eastAsia="黑体" w:cs="黑体"/>
          <w:b w:val="0"/>
          <w:bCs w:val="0"/>
          <w:color w:val="000000"/>
        </w:rPr>
        <w:t>二、</w:t>
      </w:r>
      <w:r>
        <w:rPr>
          <w:rFonts w:hint="eastAsia" w:ascii="黑体" w:hAnsi="黑体" w:eastAsia="黑体" w:cs="黑体"/>
          <w:b w:val="0"/>
          <w:bCs w:val="0"/>
          <w:color w:val="000000"/>
        </w:rPr>
        <w:t>机</w:t>
      </w:r>
      <w:r>
        <w:rPr>
          <w:rStyle w:val="17"/>
          <w:rFonts w:hint="eastAsia" w:ascii="黑体" w:hAnsi="黑体" w:eastAsia="黑体" w:cs="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cs="仿宋"/>
          <w:sz w:val="32"/>
          <w:szCs w:val="32"/>
        </w:rPr>
        <w:t>我局下属二级单位61个，其中行政单位1个，参照公务员法管理的事业单位0个，其他事业单位60个。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s="仿宋"/>
          <w:color w:val="000000"/>
          <w:sz w:val="32"/>
          <w:szCs w:val="32"/>
        </w:rPr>
        <w:t>纳入教育局</w:t>
      </w:r>
      <w:r>
        <w:rPr>
          <w:rFonts w:ascii="仿宋" w:hAnsi="仿宋" w:eastAsia="仿宋" w:cs="仿宋"/>
          <w:color w:val="000000"/>
          <w:sz w:val="32"/>
          <w:szCs w:val="32"/>
        </w:rPr>
        <w:t>2018</w:t>
      </w:r>
      <w:r>
        <w:rPr>
          <w:rFonts w:hint="eastAsia" w:ascii="仿宋" w:hAnsi="仿宋" w:eastAsia="仿宋" w:cs="仿宋"/>
          <w:color w:val="000000"/>
          <w:sz w:val="32"/>
          <w:szCs w:val="32"/>
        </w:rPr>
        <w:t>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四川省德阳市广汉市教育局（本级）</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四川省德阳市广汉市教育局机关</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四川省德阳市广汉市职业中专学校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四川省德阳市广汉市教育后勤服务中心</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四川省德阳市广汉市广汉中学</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四川省德阳市广汉市第六中学校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四川省德阳市广汉市金雁中学</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四川省德阳市广汉市雒城镇第二中学</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四川省德阳市广汉市雒城镇第三中学</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四川省德阳市广汉市光华双语学校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四川省德阳市广汉市雒城镇第一小学校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四川省德阳市广汉市雒城镇第二小学校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四川省德阳市广汉市广汉市实验小学</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四川省德阳市广汉市雒城镇第四小学校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四川省德阳市广汉市雒城镇第九小学校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四川省德阳市广汉市雒城镇第一幼儿园</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四川省德阳市广汉市雒城镇第二幼儿园</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四川省德阳市广汉市雒城镇第三幼儿园</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四川省德阳市广汉市教学研究教师培训中心</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四川省德阳市广汉市广汉电化教育馆</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四川省德阳市广汉市电大工作站</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四川省德阳市广汉市三水镇中学校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四川省德阳市广汉市三水镇中心小学校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四川省德阳市广汉市向阳镇学校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四川省德阳市广汉市新丰镇万福小学校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四川省德阳市广汉中学实验学校高新分校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四川省德阳市广汉市新丰镇中心小学校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四川省德阳市广汉市向阳镇广兴中学校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四川省德阳市广汉市向阳镇广兴小学校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四川省德阳市广汉市连山镇中学校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四川省德阳市广汉市连山镇中心小学校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四川省德阳市广汉市松林镇学校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四川省德阳市广汉市连山镇双泉小学校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四川省德阳市广汉市金鱼镇中学校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四川省德阳市广汉市金鱼镇中心小学校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四川省德阳市广汉市和兴镇中学校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四川省德阳市广汉市和兴镇中心小学校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四川省德阳市广汉市小汉镇新华中学校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四川省德阳市广汉市小汉镇新华小学校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四川省德阳市广汉市兴隆镇中学校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四川省德阳市广汉市兴隆小学校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四川省德阳市广汉市金轮镇中学校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四川省德阳市广汉市金轮镇中心小学校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四川省德阳市广汉市高坪镇中学校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四川省德阳市广汉市高坪镇中心小学校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四川省德阳市广汉市西高镇学校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四川省德阳市广汉市南丰镇中心小学校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四川省德阳市广汉市新平镇中心小学校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四川省德阳市广汉市南兴镇学校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四川省德阳市广汉市南兴镇三星学校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四川省德阳市广汉市广汉中学实验学校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四川省德阳市广汉市福州路小学校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四川省德阳市广汉市宏华外国语学校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四川省德阳市广汉市人民政府学生资助管理中心</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四川省德阳市广汉市金广学校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四川省德阳市广汉市西外乡学校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四川省德阳市广汉市七一学校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四川省德阳市广汉市雒城镇第四幼儿园</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四川省德阳市广汉市教育管理信息中心</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四川省德阳市广汉市特殊教育学校</w:t>
      </w:r>
    </w:p>
    <w:p>
      <w:pPr>
        <w:pStyle w:val="5"/>
        <w:numPr>
          <w:ilvl w:val="0"/>
          <w:numId w:val="1"/>
        </w:numPr>
        <w:adjustRightInd w:val="0"/>
        <w:snapToGrid w:val="0"/>
        <w:spacing w:before="93" w:line="600" w:lineRule="exact"/>
        <w:outlineLvl w:val="2"/>
        <w:rPr>
          <w:rFonts w:ascii="仿宋" w:hAnsi="仿宋" w:eastAsia="仿宋" w:cs="仿宋"/>
          <w:color w:val="000000"/>
          <w:sz w:val="32"/>
          <w:szCs w:val="32"/>
        </w:rPr>
      </w:pPr>
      <w:r>
        <w:rPr>
          <w:rFonts w:hint="eastAsia" w:ascii="仿宋" w:hAnsi="仿宋" w:eastAsia="仿宋" w:cs="仿宋"/>
          <w:color w:val="000000"/>
          <w:sz w:val="32"/>
          <w:szCs w:val="32"/>
        </w:rPr>
        <w:t>四川省德阳市广汉市第五幼儿园</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6"/>
          <w:rFonts w:ascii="黑体" w:hAnsi="黑体" w:eastAsia="黑体"/>
          <w:b w:val="0"/>
          <w:bCs w:val="0"/>
        </w:rPr>
      </w:pPr>
      <w:bookmarkStart w:id="22" w:name="_Toc15396602"/>
      <w:bookmarkStart w:id="23" w:name="_Toc15377204"/>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6"/>
          <w:rFonts w:ascii="黑体" w:hAnsi="黑体" w:eastAsia="黑体" w:cs="黑体"/>
          <w:b w:val="0"/>
          <w:bCs w:val="0"/>
        </w:rPr>
        <w:t>2018</w:t>
      </w:r>
      <w:r>
        <w:rPr>
          <w:rStyle w:val="16"/>
          <w:rFonts w:hint="eastAsia" w:ascii="黑体" w:hAnsi="黑体" w:eastAsia="黑体" w:cs="黑体"/>
          <w:b w:val="0"/>
          <w:bCs w:val="0"/>
        </w:rPr>
        <w:t>年度部门决算情况说明</w:t>
      </w:r>
      <w:bookmarkEnd w:id="22"/>
      <w:bookmarkEnd w:id="23"/>
    </w:p>
    <w:p/>
    <w:p>
      <w:pPr>
        <w:pStyle w:val="26"/>
        <w:numPr>
          <w:ilvl w:val="0"/>
          <w:numId w:val="2"/>
        </w:numPr>
        <w:spacing w:line="600" w:lineRule="exact"/>
        <w:ind w:firstLineChars="0"/>
        <w:outlineLvl w:val="1"/>
        <w:rPr>
          <w:rStyle w:val="17"/>
          <w:rFonts w:ascii="黑体" w:hAnsi="黑体" w:eastAsia="黑体" w:cs="Times New Roman"/>
          <w:b w:val="0"/>
          <w:bCs w:val="0"/>
        </w:rPr>
      </w:pPr>
      <w:bookmarkStart w:id="24" w:name="_Toc15396603"/>
      <w:bookmarkStart w:id="25" w:name="_Toc15377205"/>
      <w:r>
        <w:rPr>
          <w:rFonts w:hint="eastAsia" w:ascii="黑体" w:hAnsi="黑体" w:eastAsia="黑体" w:cs="黑体"/>
          <w:color w:val="000000"/>
          <w:sz w:val="32"/>
          <w:szCs w:val="32"/>
        </w:rPr>
        <w:t>收</w:t>
      </w:r>
      <w:r>
        <w:rPr>
          <w:rStyle w:val="17"/>
          <w:rFonts w:hint="eastAsia" w:ascii="黑体" w:hAnsi="黑体" w:eastAsia="黑体" w:cs="黑体"/>
          <w:b w:val="0"/>
          <w:bCs w:val="0"/>
        </w:rPr>
        <w:t>入支出决算总体情况说明</w:t>
      </w:r>
      <w:bookmarkEnd w:id="24"/>
      <w:bookmarkEnd w:id="25"/>
    </w:p>
    <w:p>
      <w:pPr>
        <w:rPr>
          <w:rFonts w:ascii="仿宋" w:hAnsi="仿宋" w:eastAsia="仿宋" w:cs="仿宋"/>
          <w:color w:val="000000"/>
          <w:sz w:val="32"/>
          <w:szCs w:val="32"/>
        </w:rPr>
      </w:pPr>
      <w:r>
        <w:rPr>
          <w:rFonts w:ascii="仿宋" w:hAnsi="仿宋" w:eastAsia="仿宋" w:cs="仿宋"/>
          <w:color w:val="000000"/>
          <w:sz w:val="32"/>
          <w:szCs w:val="32"/>
        </w:rPr>
        <w:drawing>
          <wp:anchor distT="0" distB="0" distL="114300" distR="114300" simplePos="0" relativeHeight="251659264" behindDoc="0" locked="0" layoutInCell="1" allowOverlap="1">
            <wp:simplePos x="0" y="0"/>
            <wp:positionH relativeFrom="margin">
              <wp:align>center</wp:align>
            </wp:positionH>
            <wp:positionV relativeFrom="margin">
              <wp:posOffset>3829050</wp:posOffset>
            </wp:positionV>
            <wp:extent cx="4591050" cy="2752725"/>
            <wp:effectExtent l="19050" t="0" r="0" b="0"/>
            <wp:wrapSquare wrapText="bothSides"/>
            <wp:docPr id="14" name="图表 2"/>
            <wp:cNvGraphicFramePr/>
            <a:graphic xmlns:a="http://schemas.openxmlformats.org/drawingml/2006/main">
              <a:graphicData uri="http://schemas.openxmlformats.org/drawingml/2006/picture">
                <pic:pic xmlns:pic="http://schemas.openxmlformats.org/drawingml/2006/picture">
                  <pic:nvPicPr>
                    <pic:cNvPr id="14" name="图表 2"/>
                    <pic:cNvPicPr>
                      <a:picLocks noChangeArrowheads="1"/>
                    </pic:cNvPicPr>
                  </pic:nvPicPr>
                  <pic:blipFill>
                    <a:blip r:embed="rId6"/>
                    <a:srcRect/>
                    <a:stretch>
                      <a:fillRect/>
                    </a:stretch>
                  </pic:blipFill>
                  <pic:spPr>
                    <a:xfrm>
                      <a:off x="0" y="0"/>
                      <a:ext cx="4591050" cy="2752725"/>
                    </a:xfrm>
                    <a:prstGeom prst="rect">
                      <a:avLst/>
                    </a:prstGeom>
                    <a:noFill/>
                    <a:ln w="9525">
                      <a:noFill/>
                      <a:miter lim="800000"/>
                      <a:headEnd/>
                      <a:tailEnd/>
                    </a:ln>
                  </pic:spPr>
                </pic:pic>
              </a:graphicData>
            </a:graphic>
          </wp:anchor>
        </w:drawing>
      </w:r>
      <w:r>
        <w:rPr>
          <w:rFonts w:ascii="仿宋" w:hAnsi="仿宋" w:eastAsia="仿宋" w:cs="仿宋"/>
          <w:color w:val="000000"/>
          <w:sz w:val="32"/>
          <w:szCs w:val="32"/>
        </w:rPr>
        <w:t>2018</w:t>
      </w:r>
      <w:r>
        <w:rPr>
          <w:rFonts w:hint="eastAsia" w:ascii="仿宋" w:hAnsi="仿宋" w:eastAsia="仿宋" w:cs="仿宋"/>
          <w:color w:val="000000"/>
          <w:sz w:val="32"/>
          <w:szCs w:val="32"/>
        </w:rPr>
        <w:t>年度收入总计</w:t>
      </w:r>
      <w:r>
        <w:rPr>
          <w:rFonts w:ascii="仿宋" w:hAnsi="仿宋" w:eastAsia="仿宋" w:cs="仿宋"/>
          <w:color w:val="000000"/>
          <w:sz w:val="32"/>
          <w:szCs w:val="32"/>
        </w:rPr>
        <w:t>68856.34</w:t>
      </w:r>
      <w:r>
        <w:rPr>
          <w:rFonts w:hint="eastAsia" w:ascii="仿宋" w:hAnsi="仿宋" w:eastAsia="仿宋" w:cs="仿宋"/>
          <w:color w:val="000000"/>
          <w:sz w:val="32"/>
          <w:szCs w:val="32"/>
        </w:rPr>
        <w:t>万元、支总计</w:t>
      </w:r>
      <w:r>
        <w:rPr>
          <w:rFonts w:ascii="仿宋" w:hAnsi="仿宋" w:eastAsia="仿宋" w:cs="仿宋"/>
          <w:color w:val="000000"/>
          <w:sz w:val="32"/>
          <w:szCs w:val="32"/>
        </w:rPr>
        <w:t>66634.3</w:t>
      </w:r>
      <w:r>
        <w:rPr>
          <w:rFonts w:hint="eastAsia" w:ascii="仿宋" w:hAnsi="仿宋" w:eastAsia="仿宋" w:cs="仿宋"/>
          <w:color w:val="000000"/>
          <w:sz w:val="32"/>
          <w:szCs w:val="32"/>
        </w:rPr>
        <w:t>万元。与</w:t>
      </w:r>
      <w:r>
        <w:rPr>
          <w:rFonts w:ascii="仿宋" w:hAnsi="仿宋" w:eastAsia="仿宋" w:cs="仿宋"/>
          <w:color w:val="000000"/>
          <w:sz w:val="32"/>
          <w:szCs w:val="32"/>
        </w:rPr>
        <w:t>2017</w:t>
      </w:r>
      <w:r>
        <w:rPr>
          <w:rFonts w:hint="eastAsia" w:ascii="仿宋" w:hAnsi="仿宋" w:eastAsia="仿宋" w:cs="仿宋"/>
          <w:color w:val="000000"/>
          <w:sz w:val="32"/>
          <w:szCs w:val="32"/>
        </w:rPr>
        <w:t>年相比，收入总计增加4689.18万元，增长7.31%</w:t>
      </w:r>
      <w:r>
        <w:rPr>
          <w:rFonts w:ascii="仿宋" w:hAnsi="仿宋" w:eastAsia="仿宋" w:cs="仿宋"/>
          <w:color w:val="000000"/>
          <w:sz w:val="32"/>
          <w:szCs w:val="32"/>
        </w:rPr>
        <w:t>%</w:t>
      </w:r>
      <w:r>
        <w:rPr>
          <w:rFonts w:hint="eastAsia" w:ascii="仿宋" w:hAnsi="仿宋" w:eastAsia="仿宋" w:cs="仿宋"/>
          <w:color w:val="000000"/>
          <w:sz w:val="32"/>
          <w:szCs w:val="32"/>
        </w:rPr>
        <w:t>、支总计各增加2769.5万元，增长4.34%</w:t>
      </w:r>
      <w:r>
        <w:rPr>
          <w:rFonts w:ascii="仿宋" w:hAnsi="仿宋" w:eastAsia="仿宋" w:cs="仿宋"/>
          <w:color w:val="000000"/>
          <w:sz w:val="32"/>
          <w:szCs w:val="32"/>
        </w:rPr>
        <w:t>%</w:t>
      </w:r>
      <w:r>
        <w:rPr>
          <w:rFonts w:hint="eastAsia" w:ascii="仿宋" w:hAnsi="仿宋" w:eastAsia="仿宋" w:cs="仿宋"/>
          <w:color w:val="000000"/>
          <w:sz w:val="32"/>
          <w:szCs w:val="32"/>
        </w:rPr>
        <w:t>。主要变动原因是教师正常增资等因素。</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1</w:t>
      </w:r>
      <w:r>
        <w:rPr>
          <w:rFonts w:hint="eastAsia" w:ascii="仿宋" w:hAnsi="仿宋" w:eastAsia="仿宋" w:cs="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6"/>
        <w:numPr>
          <w:ilvl w:val="0"/>
          <w:numId w:val="2"/>
        </w:numPr>
        <w:spacing w:line="600" w:lineRule="exact"/>
        <w:ind w:firstLineChars="0"/>
        <w:outlineLvl w:val="1"/>
        <w:rPr>
          <w:rStyle w:val="17"/>
          <w:rFonts w:ascii="黑体" w:hAnsi="黑体" w:eastAsia="黑体" w:cs="Times New Roman"/>
          <w:b w:val="0"/>
          <w:bCs w:val="0"/>
        </w:rPr>
      </w:pPr>
      <w:bookmarkStart w:id="26" w:name="_Toc15377206"/>
      <w:bookmarkStart w:id="27" w:name="_Toc15396604"/>
      <w:r>
        <w:rPr>
          <w:rFonts w:hint="eastAsia" w:ascii="黑体" w:hAnsi="黑体" w:eastAsia="黑体" w:cs="黑体"/>
          <w:color w:val="000000"/>
          <w:sz w:val="32"/>
          <w:szCs w:val="32"/>
        </w:rPr>
        <w:t>收</w:t>
      </w:r>
      <w:r>
        <w:rPr>
          <w:rStyle w:val="17"/>
          <w:rFonts w:hint="eastAsia" w:ascii="黑体" w:hAnsi="黑体" w:eastAsia="黑体" w:cs="黑体"/>
          <w:b w:val="0"/>
          <w:bCs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s="仿宋"/>
          <w:color w:val="000000"/>
          <w:sz w:val="32"/>
          <w:szCs w:val="32"/>
        </w:rPr>
        <w:t>2018年本年收入合计68,856.34万元，其中：一般公共预算财政拨款收入66,243.50万元，占96.21%；政府性基金预算财政拨款收入27万元，占0.04%；事业收入2,345.60万元，占3.41%；其他收入240.24万元，占0.35%。</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2</w:t>
      </w:r>
      <w:r>
        <w:rPr>
          <w:rFonts w:hint="eastAsia" w:ascii="仿宋" w:hAnsi="仿宋" w:eastAsia="仿宋" w:cs="仿宋"/>
          <w:color w:val="000000"/>
          <w:sz w:val="32"/>
          <w:szCs w:val="32"/>
        </w:rPr>
        <w:t>：收入决算结构图）（饼状图）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margin">
              <wp:posOffset>84455</wp:posOffset>
            </wp:positionH>
            <wp:positionV relativeFrom="margin">
              <wp:posOffset>633730</wp:posOffset>
            </wp:positionV>
            <wp:extent cx="5505450" cy="2200275"/>
            <wp:effectExtent l="19050" t="0" r="0" b="0"/>
            <wp:wrapSquare wrapText="bothSides"/>
            <wp:docPr id="13" name="图表 3"/>
            <wp:cNvGraphicFramePr/>
            <a:graphic xmlns:a="http://schemas.openxmlformats.org/drawingml/2006/main">
              <a:graphicData uri="http://schemas.openxmlformats.org/drawingml/2006/picture">
                <pic:pic xmlns:pic="http://schemas.openxmlformats.org/drawingml/2006/picture">
                  <pic:nvPicPr>
                    <pic:cNvPr id="13" name="图表 3"/>
                    <pic:cNvPicPr>
                      <a:picLocks noChangeArrowheads="1"/>
                    </pic:cNvPicPr>
                  </pic:nvPicPr>
                  <pic:blipFill>
                    <a:blip r:embed="rId7"/>
                    <a:srcRect b="-145"/>
                    <a:stretch>
                      <a:fillRect/>
                    </a:stretch>
                  </pic:blipFill>
                  <pic:spPr>
                    <a:xfrm>
                      <a:off x="0" y="0"/>
                      <a:ext cx="5505450" cy="2200275"/>
                    </a:xfrm>
                    <a:prstGeom prst="rect">
                      <a:avLst/>
                    </a:prstGeom>
                    <a:noFill/>
                    <a:ln w="9525">
                      <a:noFill/>
                      <a:miter lim="800000"/>
                      <a:headEnd/>
                      <a:tailEnd/>
                    </a:ln>
                  </pic:spPr>
                </pic:pic>
              </a:graphicData>
            </a:graphic>
          </wp:anchor>
        </w:drawing>
      </w:r>
    </w:p>
    <w:p>
      <w:pPr>
        <w:pStyle w:val="26"/>
        <w:numPr>
          <w:ilvl w:val="0"/>
          <w:numId w:val="2"/>
        </w:numPr>
        <w:spacing w:line="600" w:lineRule="exact"/>
        <w:ind w:firstLineChars="0"/>
        <w:outlineLvl w:val="1"/>
        <w:rPr>
          <w:rStyle w:val="17"/>
          <w:rFonts w:ascii="黑体" w:hAnsi="黑体" w:eastAsia="黑体" w:cs="Times New Roman"/>
          <w:b w:val="0"/>
          <w:bCs w:val="0"/>
        </w:rPr>
      </w:pPr>
      <w:bookmarkStart w:id="28" w:name="_Toc15396605"/>
      <w:bookmarkStart w:id="29" w:name="_Toc15377207"/>
      <w:r>
        <w:rPr>
          <w:rFonts w:hint="eastAsia" w:ascii="黑体" w:hAnsi="黑体" w:eastAsia="黑体" w:cs="黑体"/>
          <w:color w:val="000000"/>
          <w:sz w:val="32"/>
          <w:szCs w:val="32"/>
        </w:rPr>
        <w:t>支</w:t>
      </w:r>
      <w:r>
        <w:rPr>
          <w:rStyle w:val="17"/>
          <w:rFonts w:hint="eastAsia" w:ascii="黑体" w:hAnsi="黑体" w:eastAsia="黑体" w:cs="黑体"/>
          <w:b w:val="0"/>
          <w:bCs w:val="0"/>
        </w:rPr>
        <w:t>出决算情况说明</w:t>
      </w:r>
      <w:bookmarkEnd w:id="28"/>
      <w:bookmarkEnd w:id="29"/>
    </w:p>
    <w:p>
      <w:pPr>
        <w:ind w:firstLine="640" w:firstLineChars="200"/>
        <w:rPr>
          <w:rFonts w:ascii="仿宋" w:hAnsi="仿宋" w:eastAsia="仿宋" w:cs="仿宋"/>
          <w:color w:val="000000"/>
          <w:sz w:val="32"/>
          <w:szCs w:val="32"/>
        </w:rPr>
      </w:pPr>
      <w:r>
        <w:rPr>
          <w:rFonts w:ascii="仿宋" w:hAnsi="仿宋" w:eastAsia="仿宋" w:cs="仿宋"/>
          <w:color w:val="000000"/>
          <w:sz w:val="32"/>
          <w:szCs w:val="32"/>
        </w:rPr>
        <w:drawing>
          <wp:anchor distT="0" distB="0" distL="114300" distR="114300" simplePos="0" relativeHeight="251661312" behindDoc="0" locked="0" layoutInCell="1" allowOverlap="1">
            <wp:simplePos x="0" y="0"/>
            <wp:positionH relativeFrom="margin">
              <wp:posOffset>342900</wp:posOffset>
            </wp:positionH>
            <wp:positionV relativeFrom="margin">
              <wp:posOffset>5753100</wp:posOffset>
            </wp:positionV>
            <wp:extent cx="4591050" cy="2752725"/>
            <wp:effectExtent l="19050" t="0" r="0" b="0"/>
            <wp:wrapSquare wrapText="bothSides"/>
            <wp:docPr id="11" name="图表 4"/>
            <wp:cNvGraphicFramePr/>
            <a:graphic xmlns:a="http://schemas.openxmlformats.org/drawingml/2006/main">
              <a:graphicData uri="http://schemas.openxmlformats.org/drawingml/2006/picture">
                <pic:pic xmlns:pic="http://schemas.openxmlformats.org/drawingml/2006/picture">
                  <pic:nvPicPr>
                    <pic:cNvPr id="11" name="图表 4"/>
                    <pic:cNvPicPr>
                      <a:picLocks noChangeArrowheads="1"/>
                    </pic:cNvPicPr>
                  </pic:nvPicPr>
                  <pic:blipFill>
                    <a:blip r:embed="rId8"/>
                    <a:srcRect/>
                    <a:stretch>
                      <a:fillRect/>
                    </a:stretch>
                  </pic:blipFill>
                  <pic:spPr>
                    <a:xfrm>
                      <a:off x="0" y="0"/>
                      <a:ext cx="4591050" cy="2752725"/>
                    </a:xfrm>
                    <a:prstGeom prst="rect">
                      <a:avLst/>
                    </a:prstGeom>
                    <a:noFill/>
                    <a:ln w="9525">
                      <a:noFill/>
                      <a:miter lim="800000"/>
                      <a:headEnd/>
                      <a:tailEnd/>
                    </a:ln>
                  </pic:spPr>
                </pic:pic>
              </a:graphicData>
            </a:graphic>
          </wp:anchor>
        </w:drawing>
      </w:r>
      <w:r>
        <w:rPr>
          <w:rFonts w:ascii="仿宋" w:hAnsi="仿宋" w:eastAsia="仿宋" w:cs="仿宋"/>
          <w:color w:val="000000"/>
          <w:sz w:val="32"/>
          <w:szCs w:val="32"/>
        </w:rPr>
        <w:t>2018</w:t>
      </w:r>
      <w:r>
        <w:rPr>
          <w:rFonts w:hint="eastAsia" w:ascii="仿宋" w:hAnsi="仿宋" w:eastAsia="仿宋" w:cs="仿宋"/>
          <w:color w:val="000000"/>
          <w:sz w:val="32"/>
          <w:szCs w:val="32"/>
        </w:rPr>
        <w:t>年本年支出合计66,634.22万元，其中：基本支出61,661.01万元，占92.54</w:t>
      </w:r>
      <w:r>
        <w:rPr>
          <w:rFonts w:ascii="仿宋" w:hAnsi="仿宋" w:eastAsia="仿宋" w:cs="仿宋"/>
          <w:color w:val="000000"/>
          <w:sz w:val="32"/>
          <w:szCs w:val="32"/>
        </w:rPr>
        <w:t>%</w:t>
      </w:r>
      <w:r>
        <w:rPr>
          <w:rFonts w:hint="eastAsia" w:ascii="仿宋" w:hAnsi="仿宋" w:eastAsia="仿宋" w:cs="仿宋"/>
          <w:color w:val="000000"/>
          <w:sz w:val="32"/>
          <w:szCs w:val="32"/>
        </w:rPr>
        <w:t>；项目支出4,973.21万元，占7.46</w:t>
      </w:r>
      <w:r>
        <w:rPr>
          <w:rFonts w:ascii="仿宋" w:hAnsi="仿宋" w:eastAsia="仿宋" w:cs="仿宋"/>
          <w:color w:val="000000"/>
          <w:sz w:val="32"/>
          <w:szCs w:val="32"/>
        </w:rPr>
        <w:t>%</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3</w:t>
      </w:r>
      <w:r>
        <w:rPr>
          <w:rFonts w:hint="eastAsia" w:ascii="仿宋" w:hAnsi="仿宋" w:eastAsia="仿宋" w:cs="仿宋"/>
          <w:color w:val="000000"/>
          <w:sz w:val="32"/>
          <w:szCs w:val="32"/>
        </w:rPr>
        <w:t>：支出决算结构图）（饼状图）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ascii="仿宋" w:hAnsi="仿宋" w:eastAsia="仿宋" w:cs="仿宋"/>
          <w:color w:val="000000"/>
        </w:rPr>
      </w:pPr>
      <w:bookmarkStart w:id="30" w:name="_Toc15377208"/>
      <w:bookmarkStart w:id="31" w:name="_Toc15396606"/>
      <w:r>
        <w:rPr>
          <w:rFonts w:hint="eastAsia" w:ascii="黑体" w:hAnsi="黑体" w:eastAsia="黑体" w:cs="黑体"/>
          <w:color w:val="000000"/>
          <w:sz w:val="32"/>
          <w:szCs w:val="32"/>
        </w:rPr>
        <w:t>四、</w:t>
      </w:r>
      <w:r>
        <w:rPr>
          <w:rFonts w:hint="eastAsia" w:ascii="仿宋" w:hAnsi="仿宋" w:eastAsia="仿宋" w:cs="仿宋"/>
          <w:color w:val="000000"/>
          <w:sz w:val="32"/>
          <w:szCs w:val="32"/>
        </w:rPr>
        <w:t>财</w:t>
      </w:r>
      <w:r>
        <w:rPr>
          <w:rFonts w:hint="eastAsia" w:ascii="仿宋" w:hAnsi="仿宋" w:eastAsia="仿宋" w:cs="仿宋"/>
          <w:color w:val="000000"/>
        </w:rPr>
        <w:t>政拨款收入支出决算总体情况说明</w:t>
      </w:r>
      <w:bookmarkEnd w:id="30"/>
      <w:bookmarkEnd w:id="31"/>
    </w:p>
    <w:p>
      <w:pPr>
        <w:ind w:firstLine="640" w:firstLineChars="200"/>
        <w:rPr>
          <w:rFonts w:ascii="宋体" w:hAnsi="宋体" w:cs="Arial"/>
          <w:color w:val="000000"/>
          <w:kern w:val="0"/>
          <w:sz w:val="22"/>
          <w:szCs w:val="22"/>
        </w:rPr>
      </w:pPr>
      <w:r>
        <w:rPr>
          <w:rFonts w:ascii="仿宋" w:hAnsi="仿宋" w:eastAsia="仿宋" w:cs="仿宋"/>
          <w:color w:val="000000"/>
          <w:sz w:val="32"/>
          <w:szCs w:val="32"/>
        </w:rPr>
        <w:t>2018</w:t>
      </w:r>
      <w:r>
        <w:rPr>
          <w:rFonts w:hint="eastAsia" w:ascii="仿宋" w:hAnsi="仿宋" w:eastAsia="仿宋" w:cs="仿宋"/>
          <w:color w:val="000000"/>
          <w:sz w:val="32"/>
          <w:szCs w:val="32"/>
        </w:rPr>
        <w:t>年财政拨款收、支总计66,270.50万元、64,100.28万元。与</w:t>
      </w:r>
      <w:r>
        <w:rPr>
          <w:rFonts w:ascii="仿宋" w:hAnsi="仿宋" w:eastAsia="仿宋" w:cs="仿宋"/>
          <w:color w:val="000000"/>
          <w:sz w:val="32"/>
          <w:szCs w:val="32"/>
        </w:rPr>
        <w:t>2017</w:t>
      </w:r>
      <w:r>
        <w:rPr>
          <w:rFonts w:hint="eastAsia" w:ascii="仿宋" w:hAnsi="仿宋" w:eastAsia="仿宋" w:cs="仿宋"/>
          <w:color w:val="000000"/>
          <w:sz w:val="32"/>
          <w:szCs w:val="32"/>
        </w:rPr>
        <w:t>年相比，财政拨款收、支总计各增加</w:t>
      </w:r>
      <w:r>
        <w:rPr>
          <w:rFonts w:ascii="仿宋" w:hAnsi="仿宋" w:eastAsia="仿宋" w:cs="仿宋"/>
          <w:color w:val="000000"/>
          <w:sz w:val="32"/>
          <w:szCs w:val="32"/>
        </w:rPr>
        <w:t>/</w:t>
      </w:r>
      <w:r>
        <w:rPr>
          <w:rFonts w:hint="eastAsia" w:ascii="仿宋" w:hAnsi="仿宋" w:eastAsia="仿宋" w:cs="仿宋"/>
          <w:color w:val="000000"/>
          <w:sz w:val="32"/>
          <w:szCs w:val="32"/>
        </w:rPr>
        <w:t>减少2,103.34 万元、235.48 万元，增长</w:t>
      </w:r>
      <w:r>
        <w:rPr>
          <w:rFonts w:ascii="仿宋" w:hAnsi="仿宋" w:eastAsia="仿宋" w:cs="仿宋"/>
          <w:color w:val="000000"/>
          <w:sz w:val="32"/>
          <w:szCs w:val="32"/>
        </w:rPr>
        <w:t>/</w:t>
      </w:r>
      <w:r>
        <w:rPr>
          <w:rFonts w:hint="eastAsia" w:ascii="仿宋" w:hAnsi="仿宋" w:eastAsia="仿宋" w:cs="仿宋"/>
          <w:color w:val="000000"/>
          <w:sz w:val="32"/>
          <w:szCs w:val="32"/>
        </w:rPr>
        <w:t>下降3.28%、0.37%。主要变动原因是正常增资等因素。</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4</w:t>
      </w:r>
      <w:r>
        <w:rPr>
          <w:rFonts w:hint="eastAsia" w:ascii="仿宋" w:hAnsi="仿宋" w:eastAsia="仿宋" w:cs="仿宋"/>
          <w:color w:val="000000"/>
          <w:sz w:val="32"/>
          <w:szCs w:val="32"/>
        </w:rPr>
        <w:t>：财政拨款收、支决算总计变动情况）（柱状图）</w:t>
      </w:r>
    </w:p>
    <w:p>
      <w:pPr>
        <w:spacing w:line="600" w:lineRule="exact"/>
        <w:ind w:firstLine="640" w:firstLineChars="200"/>
        <w:rPr>
          <w:rFonts w:ascii="仿宋" w:hAnsi="仿宋" w:eastAsia="仿宋"/>
          <w:color w:val="000000"/>
          <w:sz w:val="32"/>
          <w:szCs w:val="32"/>
        </w:rPr>
      </w:pP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4591050" cy="2752725"/>
            <wp:effectExtent l="19050" t="0" r="0" b="0"/>
            <wp:wrapSquare wrapText="bothSides"/>
            <wp:docPr id="10" name="图表 5"/>
            <wp:cNvGraphicFramePr/>
            <a:graphic xmlns:a="http://schemas.openxmlformats.org/drawingml/2006/main">
              <a:graphicData uri="http://schemas.openxmlformats.org/drawingml/2006/picture">
                <pic:pic xmlns:pic="http://schemas.openxmlformats.org/drawingml/2006/picture">
                  <pic:nvPicPr>
                    <pic:cNvPr id="10" name="图表 5"/>
                    <pic:cNvPicPr>
                      <a:picLocks noChangeArrowheads="1"/>
                    </pic:cNvPicPr>
                  </pic:nvPicPr>
                  <pic:blipFill>
                    <a:blip r:embed="rId9"/>
                    <a:srcRect/>
                    <a:stretch>
                      <a:fillRect/>
                    </a:stretch>
                  </pic:blipFill>
                  <pic:spPr>
                    <a:xfrm>
                      <a:off x="0" y="0"/>
                      <a:ext cx="4591050" cy="2752725"/>
                    </a:xfrm>
                    <a:prstGeom prst="rect">
                      <a:avLst/>
                    </a:prstGeom>
                    <a:noFill/>
                    <a:ln w="9525">
                      <a:noFill/>
                      <a:miter lim="800000"/>
                      <a:headEnd/>
                      <a:tailEnd/>
                    </a:ln>
                  </pic:spPr>
                </pic:pic>
              </a:graphicData>
            </a:graphic>
          </wp:anchor>
        </w:drawing>
      </w:r>
      <w:r>
        <w:rPr>
          <w:rFonts w:hint="eastAsia" w:ascii="仿宋" w:hAnsi="仿宋" w:eastAsia="仿宋" w:cs="仿宋"/>
          <w:b/>
          <w:bCs/>
          <w:color w:val="000000"/>
          <w:sz w:val="32"/>
          <w:szCs w:val="32"/>
        </w:rPr>
        <w:t>（除国有资本经营预算外，数据来源于财决</w:t>
      </w:r>
      <w:r>
        <w:rPr>
          <w:rFonts w:ascii="仿宋" w:hAnsi="仿宋" w:eastAsia="仿宋" w:cs="仿宋"/>
          <w:b/>
          <w:bCs/>
          <w:color w:val="000000"/>
          <w:sz w:val="32"/>
          <w:szCs w:val="32"/>
        </w:rPr>
        <w:t>Z01-1</w:t>
      </w:r>
      <w:r>
        <w:rPr>
          <w:rFonts w:hint="eastAsia" w:ascii="仿宋" w:hAnsi="仿宋" w:eastAsia="仿宋" w:cs="仿宋"/>
          <w:b/>
          <w:bCs/>
          <w:color w:val="000000"/>
          <w:sz w:val="32"/>
          <w:szCs w:val="32"/>
        </w:rPr>
        <w:t>表，口径为“总计”数</w:t>
      </w:r>
      <w:r>
        <w:rPr>
          <w:rFonts w:ascii="仿宋" w:hAnsi="仿宋" w:eastAsia="仿宋" w:cs="仿宋"/>
          <w:b/>
          <w:bCs/>
          <w:color w:val="000000"/>
          <w:sz w:val="32"/>
          <w:szCs w:val="32"/>
        </w:rPr>
        <w:t>+</w:t>
      </w:r>
      <w:r>
        <w:rPr>
          <w:rFonts w:hint="eastAsia" w:ascii="仿宋" w:hAnsi="仿宋" w:eastAsia="仿宋" w:cs="仿宋"/>
          <w:b/>
          <w:bCs/>
          <w:color w:val="000000"/>
          <w:sz w:val="32"/>
          <w:szCs w:val="32"/>
        </w:rPr>
        <w:t>国有资本经营预算。）</w:t>
      </w:r>
    </w:p>
    <w:p>
      <w:pPr>
        <w:spacing w:line="600" w:lineRule="exact"/>
        <w:ind w:firstLine="640"/>
        <w:rPr>
          <w:rFonts w:ascii="仿宋" w:hAnsi="仿宋" w:eastAsia="仿宋"/>
          <w:b/>
          <w:bCs/>
          <w:color w:val="00B050"/>
          <w:sz w:val="32"/>
          <w:szCs w:val="32"/>
        </w:rPr>
      </w:pPr>
    </w:p>
    <w:p>
      <w:pPr>
        <w:spacing w:line="600" w:lineRule="exact"/>
        <w:ind w:firstLine="640" w:firstLineChars="200"/>
        <w:outlineLvl w:val="1"/>
        <w:rPr>
          <w:rStyle w:val="17"/>
          <w:rFonts w:ascii="黑体" w:hAnsi="黑体" w:eastAsia="黑体" w:cs="Times New Roman"/>
          <w:b w:val="0"/>
          <w:bCs w:val="0"/>
        </w:rPr>
      </w:pPr>
      <w:bookmarkStart w:id="32" w:name="_Toc15377209"/>
      <w:bookmarkStart w:id="33" w:name="_Toc15396607"/>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般公共预算财政拨款支出决算情况说明</w:t>
      </w:r>
      <w:bookmarkEnd w:id="32"/>
      <w:bookmarkEnd w:id="33"/>
    </w:p>
    <w:p>
      <w:pPr>
        <w:spacing w:line="600" w:lineRule="exact"/>
        <w:ind w:firstLine="640" w:firstLineChars="200"/>
        <w:outlineLvl w:val="2"/>
        <w:rPr>
          <w:rFonts w:ascii="仿宋" w:hAnsi="仿宋" w:eastAsia="仿宋" w:cs="仿宋"/>
          <w:color w:val="000000"/>
          <w:sz w:val="32"/>
          <w:szCs w:val="32"/>
        </w:rPr>
      </w:pPr>
      <w:bookmarkStart w:id="34" w:name="_Toc15377210"/>
      <w:r>
        <w:rPr>
          <w:rFonts w:hint="eastAsia" w:ascii="仿宋" w:hAnsi="仿宋" w:eastAsia="仿宋" w:cs="仿宋"/>
          <w:color w:val="000000"/>
          <w:sz w:val="32"/>
          <w:szCs w:val="32"/>
        </w:rPr>
        <w:t>（一）一般公共预算财政拨款支出决算总体情况</w:t>
      </w:r>
      <w:bookmarkEnd w:id="34"/>
    </w:p>
    <w:p>
      <w:pPr>
        <w:ind w:firstLine="640" w:firstLineChars="200"/>
        <w:rPr>
          <w:rFonts w:ascii="仿宋" w:hAnsi="仿宋" w:eastAsia="仿宋" w:cs="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年一般公共预算财政拨款支出235.47万元，占本年支出合计的96.20%</w:t>
      </w:r>
      <w:r>
        <w:rPr>
          <w:rFonts w:ascii="仿宋" w:hAnsi="仿宋" w:eastAsia="仿宋" w:cs="仿宋"/>
          <w:color w:val="000000"/>
          <w:sz w:val="32"/>
          <w:szCs w:val="32"/>
        </w:rPr>
        <w:t>%</w:t>
      </w:r>
      <w:r>
        <w:rPr>
          <w:rFonts w:hint="eastAsia" w:ascii="仿宋" w:hAnsi="仿宋" w:eastAsia="仿宋" w:cs="仿宋"/>
          <w:color w:val="000000"/>
          <w:sz w:val="32"/>
          <w:szCs w:val="32"/>
        </w:rPr>
        <w:t>。与</w:t>
      </w:r>
      <w:r>
        <w:rPr>
          <w:rFonts w:ascii="仿宋" w:hAnsi="仿宋" w:eastAsia="仿宋" w:cs="仿宋"/>
          <w:color w:val="000000"/>
          <w:sz w:val="32"/>
          <w:szCs w:val="32"/>
        </w:rPr>
        <w:t>2017</w:t>
      </w:r>
      <w:r>
        <w:rPr>
          <w:rFonts w:hint="eastAsia" w:ascii="仿宋" w:hAnsi="仿宋" w:eastAsia="仿宋" w:cs="仿宋"/>
          <w:color w:val="000000"/>
          <w:sz w:val="32"/>
          <w:szCs w:val="32"/>
        </w:rPr>
        <w:t>年相比，一般公共预算财政拨款增加</w:t>
      </w:r>
      <w:r>
        <w:rPr>
          <w:rFonts w:ascii="仿宋" w:hAnsi="仿宋" w:eastAsia="仿宋" w:cs="仿宋"/>
          <w:color w:val="000000"/>
          <w:sz w:val="32"/>
          <w:szCs w:val="32"/>
        </w:rPr>
        <w:t>/</w:t>
      </w:r>
      <w:r>
        <w:rPr>
          <w:rFonts w:hint="eastAsia" w:ascii="仿宋" w:hAnsi="仿宋" w:eastAsia="仿宋" w:cs="仿宋"/>
          <w:color w:val="000000"/>
          <w:sz w:val="32"/>
          <w:szCs w:val="32"/>
        </w:rPr>
        <w:t>减少235.47 万元，增长</w:t>
      </w:r>
      <w:r>
        <w:rPr>
          <w:rFonts w:ascii="仿宋" w:hAnsi="仿宋" w:eastAsia="仿宋" w:cs="仿宋"/>
          <w:color w:val="000000"/>
          <w:sz w:val="32"/>
          <w:szCs w:val="32"/>
        </w:rPr>
        <w:t>/</w:t>
      </w:r>
      <w:r>
        <w:rPr>
          <w:rFonts w:hint="eastAsia" w:ascii="仿宋" w:hAnsi="仿宋" w:eastAsia="仿宋" w:cs="仿宋"/>
          <w:color w:val="000000"/>
          <w:sz w:val="32"/>
          <w:szCs w:val="32"/>
        </w:rPr>
        <w:t>下降0.37%。主要变动原因是正常增资等因素。</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anchor distT="0" distB="0" distL="114300" distR="114300" simplePos="0" relativeHeight="251663360" behindDoc="0" locked="0" layoutInCell="1" allowOverlap="1">
            <wp:simplePos x="0" y="0"/>
            <wp:positionH relativeFrom="margin">
              <wp:align>center</wp:align>
            </wp:positionH>
            <wp:positionV relativeFrom="margin">
              <wp:posOffset>1943100</wp:posOffset>
            </wp:positionV>
            <wp:extent cx="4591050" cy="2752725"/>
            <wp:effectExtent l="19050" t="0" r="0" b="0"/>
            <wp:wrapSquare wrapText="bothSides"/>
            <wp:docPr id="9" name="图表 6"/>
            <wp:cNvGraphicFramePr/>
            <a:graphic xmlns:a="http://schemas.openxmlformats.org/drawingml/2006/main">
              <a:graphicData uri="http://schemas.openxmlformats.org/drawingml/2006/picture">
                <pic:pic xmlns:pic="http://schemas.openxmlformats.org/drawingml/2006/picture">
                  <pic:nvPicPr>
                    <pic:cNvPr id="9" name="图表 6"/>
                    <pic:cNvPicPr>
                      <a:picLocks noChangeArrowheads="1"/>
                    </pic:cNvPicPr>
                  </pic:nvPicPr>
                  <pic:blipFill>
                    <a:blip r:embed="rId10"/>
                    <a:srcRect/>
                    <a:stretch>
                      <a:fillRect/>
                    </a:stretch>
                  </pic:blipFill>
                  <pic:spPr>
                    <a:xfrm>
                      <a:off x="0" y="0"/>
                      <a:ext cx="4591050" cy="2752725"/>
                    </a:xfrm>
                    <a:prstGeom prst="rect">
                      <a:avLst/>
                    </a:prstGeom>
                    <a:noFill/>
                    <a:ln w="9525">
                      <a:noFill/>
                      <a:miter lim="800000"/>
                      <a:headEnd/>
                      <a:tailEnd/>
                    </a:ln>
                  </pic:spPr>
                </pic:pic>
              </a:graphicData>
            </a:graphic>
          </wp:anchor>
        </w:drawing>
      </w:r>
      <w:r>
        <w:rPr>
          <w:rFonts w:hint="eastAsia" w:ascii="仿宋" w:hAnsi="仿宋" w:eastAsia="仿宋" w:cs="仿宋"/>
          <w:color w:val="000000"/>
          <w:sz w:val="32"/>
          <w:szCs w:val="32"/>
        </w:rPr>
        <w:t>（图</w:t>
      </w:r>
      <w:r>
        <w:rPr>
          <w:rFonts w:ascii="仿宋" w:hAnsi="仿宋" w:eastAsia="仿宋" w:cs="仿宋"/>
          <w:color w:val="000000"/>
          <w:sz w:val="32"/>
          <w:szCs w:val="32"/>
        </w:rPr>
        <w:t>5</w:t>
      </w:r>
      <w:r>
        <w:rPr>
          <w:rFonts w:hint="eastAsia" w:ascii="仿宋" w:hAnsi="仿宋" w:eastAsia="仿宋" w:cs="仿宋"/>
          <w:color w:val="000000"/>
          <w:sz w:val="32"/>
          <w:szCs w:val="32"/>
        </w:rPr>
        <w:t>：一般公共预算财政拨款支出决算变动情况）（柱状图）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bCs/>
          <w:color w:val="000000"/>
          <w:sz w:val="32"/>
          <w:szCs w:val="32"/>
        </w:rPr>
      </w:pPr>
      <w:bookmarkStart w:id="35" w:name="_Toc15377211"/>
      <w:r>
        <w:rPr>
          <w:rFonts w:hint="eastAsia" w:ascii="仿宋" w:hAnsi="仿宋" w:eastAsia="仿宋" w:cs="仿宋"/>
          <w:b/>
          <w:bCs/>
          <w:color w:val="000000"/>
          <w:sz w:val="32"/>
          <w:szCs w:val="32"/>
        </w:rPr>
        <w:t>（二）一般公共预算财政拨款支出决算结构情况</w:t>
      </w:r>
      <w:bookmarkEnd w:id="35"/>
    </w:p>
    <w:p>
      <w:pPr>
        <w:ind w:firstLine="640" w:firstLineChars="20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年一般公共预算财政拨款支出64,100.28万元，主要用于以下方面</w:t>
      </w:r>
      <w:r>
        <w:rPr>
          <w:rFonts w:ascii="仿宋" w:hAnsi="仿宋" w:eastAsia="仿宋" w:cs="仿宋"/>
          <w:color w:val="000000"/>
          <w:sz w:val="32"/>
          <w:szCs w:val="32"/>
        </w:rPr>
        <w:t>:</w:t>
      </w:r>
      <w:r>
        <w:rPr>
          <w:rFonts w:hint="eastAsia" w:ascii="仿宋" w:hAnsi="仿宋" w:eastAsia="仿宋" w:cs="仿宋"/>
          <w:color w:val="000000"/>
          <w:sz w:val="32"/>
          <w:szCs w:val="32"/>
        </w:rPr>
        <w:t>教育支出（类）48,034.52万元，占74.94%；社会保障和就业（类）支出9,117.82万元，占14.22%；医疗卫生支出2,942.43万元，占4.59%；农林水支出支出285.90万元，占0.45%；住房保障支出3,695.61万元，占5.77%；其他支出24.00万元，占0.04%。</w:t>
      </w:r>
      <w:r>
        <w:rPr>
          <w:rFonts w:hint="eastAsia" w:ascii="仿宋" w:hAnsi="仿宋" w:eastAsia="仿宋" w:cs="仿宋"/>
          <w:b/>
          <w:bCs/>
          <w:color w:val="000000"/>
          <w:sz w:val="32"/>
          <w:szCs w:val="32"/>
        </w:rPr>
        <w:t>（罗列全部功能分类科目，至类级。）</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6</w:t>
      </w:r>
      <w:r>
        <w:rPr>
          <w:rFonts w:hint="eastAsia" w:ascii="仿宋" w:hAnsi="仿宋" w:eastAsia="仿宋" w:cs="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cs="仿宋"/>
          <w:b/>
          <w:bCs/>
          <w:color w:val="000000"/>
          <w:sz w:val="32"/>
          <w:szCs w:val="32"/>
        </w:rPr>
      </w:pPr>
      <w:bookmarkStart w:id="36" w:name="_Toc15377212"/>
    </w:p>
    <w:p>
      <w:pPr>
        <w:spacing w:line="600" w:lineRule="exact"/>
        <w:ind w:firstLine="643" w:firstLineChars="200"/>
        <w:outlineLvl w:val="2"/>
        <w:rPr>
          <w:rFonts w:ascii="仿宋" w:hAnsi="仿宋" w:eastAsia="仿宋" w:cs="仿宋"/>
          <w:b/>
          <w:bCs/>
          <w:color w:val="000000"/>
          <w:sz w:val="32"/>
          <w:szCs w:val="32"/>
        </w:rPr>
      </w:pPr>
    </w:p>
    <w:p>
      <w:pPr>
        <w:spacing w:line="600" w:lineRule="exact"/>
        <w:ind w:firstLine="643" w:firstLineChars="200"/>
        <w:outlineLvl w:val="2"/>
        <w:rPr>
          <w:rFonts w:ascii="仿宋" w:hAnsi="仿宋" w:eastAsia="仿宋" w:cs="仿宋"/>
          <w:b/>
          <w:bCs/>
          <w:color w:val="000000"/>
          <w:sz w:val="32"/>
          <w:szCs w:val="32"/>
        </w:rPr>
      </w:pPr>
    </w:p>
    <w:p>
      <w:pPr>
        <w:spacing w:line="600" w:lineRule="exact"/>
        <w:ind w:firstLine="640" w:firstLineChars="200"/>
        <w:outlineLvl w:val="2"/>
        <w:rPr>
          <w:rFonts w:ascii="仿宋" w:hAnsi="仿宋" w:eastAsia="仿宋" w:cs="仿宋"/>
          <w:b/>
          <w:bCs/>
          <w:color w:val="000000"/>
          <w:sz w:val="32"/>
          <w:szCs w:val="32"/>
        </w:rPr>
      </w:pPr>
      <w:r>
        <w:rPr>
          <w:sz w:val="32"/>
          <w:szCs w:val="32"/>
        </w:rPr>
        <w:drawing>
          <wp:anchor distT="0" distB="0" distL="114300" distR="114300" simplePos="0" relativeHeight="251664384" behindDoc="0" locked="0" layoutInCell="1" allowOverlap="1">
            <wp:simplePos x="0" y="0"/>
            <wp:positionH relativeFrom="margin">
              <wp:align>center</wp:align>
            </wp:positionH>
            <wp:positionV relativeFrom="margin">
              <wp:align>top</wp:align>
            </wp:positionV>
            <wp:extent cx="4591050" cy="2752725"/>
            <wp:effectExtent l="19050" t="0" r="0" b="0"/>
            <wp:wrapSquare wrapText="bothSides"/>
            <wp:docPr id="12" name="图表 8"/>
            <wp:cNvGraphicFramePr/>
            <a:graphic xmlns:a="http://schemas.openxmlformats.org/drawingml/2006/main">
              <a:graphicData uri="http://schemas.openxmlformats.org/drawingml/2006/picture">
                <pic:pic xmlns:pic="http://schemas.openxmlformats.org/drawingml/2006/picture">
                  <pic:nvPicPr>
                    <pic:cNvPr id="12" name="图表 8"/>
                    <pic:cNvPicPr>
                      <a:picLocks noChangeArrowheads="1"/>
                    </pic:cNvPicPr>
                  </pic:nvPicPr>
                  <pic:blipFill>
                    <a:blip r:embed="rId11"/>
                    <a:srcRect/>
                    <a:stretch>
                      <a:fillRect/>
                    </a:stretch>
                  </pic:blipFill>
                  <pic:spPr>
                    <a:xfrm>
                      <a:off x="0" y="0"/>
                      <a:ext cx="4591050" cy="2752725"/>
                    </a:xfrm>
                    <a:prstGeom prst="rect">
                      <a:avLst/>
                    </a:prstGeom>
                    <a:noFill/>
                    <a:ln w="9525">
                      <a:noFill/>
                      <a:miter lim="800000"/>
                      <a:headEnd/>
                      <a:tailEnd/>
                    </a:ln>
                  </pic:spPr>
                </pic:pic>
              </a:graphicData>
            </a:graphic>
          </wp:anchor>
        </w:drawing>
      </w:r>
      <w:r>
        <w:rPr>
          <w:rFonts w:hint="eastAsia" w:ascii="仿宋" w:hAnsi="仿宋" w:eastAsia="仿宋" w:cs="仿宋"/>
          <w:b/>
          <w:bCs/>
          <w:color w:val="000000"/>
          <w:sz w:val="32"/>
          <w:szCs w:val="32"/>
        </w:rPr>
        <w:t>（三）一般公共预算财政拨款支出决算具体情况</w:t>
      </w:r>
      <w:bookmarkEnd w:id="36"/>
      <w:bookmarkStart w:id="37" w:name="_Toc15377444"/>
      <w:bookmarkStart w:id="38" w:name="_Toc15377213"/>
      <w:bookmarkStart w:id="39" w:name="_Toc15378460"/>
      <w:r>
        <w:rPr>
          <w:rFonts w:ascii="仿宋" w:hAnsi="仿宋" w:eastAsia="仿宋" w:cs="仿宋"/>
          <w:b/>
          <w:bCs/>
          <w:color w:val="000000"/>
          <w:sz w:val="32"/>
          <w:szCs w:val="32"/>
        </w:rPr>
        <w:t>2018</w:t>
      </w:r>
      <w:r>
        <w:rPr>
          <w:rFonts w:hint="eastAsia" w:ascii="仿宋" w:hAnsi="仿宋" w:eastAsia="仿宋" w:cs="仿宋"/>
          <w:b/>
          <w:bCs/>
          <w:color w:val="000000"/>
          <w:sz w:val="32"/>
          <w:szCs w:val="32"/>
        </w:rPr>
        <w:t>年一般公共预算支出决算数为464,100.29万元，</w:t>
      </w:r>
      <w:r>
        <w:rPr>
          <w:rFonts w:hint="eastAsia"/>
        </w:rPr>
        <w:t>完成预算</w:t>
      </w:r>
      <w:r>
        <w:rPr>
          <w:rFonts w:hint="eastAsia" w:ascii="仿宋" w:hAnsi="仿宋" w:eastAsia="仿宋" w:cs="仿宋"/>
          <w:b/>
          <w:bCs/>
          <w:color w:val="000000"/>
          <w:sz w:val="32"/>
          <w:szCs w:val="32"/>
        </w:rPr>
        <w:t>126%。其中：</w:t>
      </w:r>
      <w:bookmarkEnd w:id="37"/>
      <w:bookmarkEnd w:id="38"/>
      <w:bookmarkEnd w:id="39"/>
    </w:p>
    <w:p>
      <w:pPr>
        <w:spacing w:line="600" w:lineRule="exact"/>
        <w:ind w:firstLine="643" w:firstLineChars="200"/>
        <w:rPr>
          <w:rStyle w:val="14"/>
          <w:rFonts w:ascii="仿宋" w:hAnsi="仿宋" w:eastAsia="仿宋" w:cs="仿宋"/>
          <w:b w:val="0"/>
          <w:bCs w:val="0"/>
          <w:color w:val="000000"/>
          <w:sz w:val="32"/>
          <w:szCs w:val="32"/>
        </w:rPr>
      </w:pPr>
      <w:r>
        <w:rPr>
          <w:rStyle w:val="14"/>
          <w:rFonts w:ascii="仿宋" w:hAnsi="仿宋" w:eastAsia="仿宋" w:cs="仿宋"/>
          <w:color w:val="000000"/>
          <w:sz w:val="32"/>
          <w:szCs w:val="32"/>
        </w:rPr>
        <w:t>1.</w:t>
      </w:r>
      <w:r>
        <w:rPr>
          <w:rStyle w:val="14"/>
          <w:rFonts w:hint="eastAsia" w:ascii="仿宋" w:hAnsi="仿宋" w:eastAsia="仿宋" w:cs="仿宋"/>
          <w:color w:val="000000"/>
          <w:sz w:val="32"/>
          <w:szCs w:val="32"/>
        </w:rPr>
        <w:t>教育支出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支出决算为48,034.52万元，完成预算133.81%%，决算数小于</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等于预算数的主要原因有两种情况：一是上级下达资金年中追加下达，二是部分项目资金未进入部门预算，纳入财政预留专项。</w:t>
      </w:r>
    </w:p>
    <w:p>
      <w:pPr>
        <w:ind w:firstLine="643" w:firstLineChars="200"/>
        <w:rPr>
          <w:rStyle w:val="14"/>
          <w:rFonts w:ascii="仿宋" w:hAnsi="仿宋" w:eastAsia="仿宋" w:cs="仿宋"/>
          <w:b w:val="0"/>
          <w:bCs w:val="0"/>
          <w:color w:val="000000"/>
          <w:sz w:val="32"/>
          <w:szCs w:val="32"/>
        </w:rPr>
      </w:pPr>
      <w:r>
        <w:rPr>
          <w:rStyle w:val="14"/>
          <w:rFonts w:hint="eastAsia" w:ascii="仿宋" w:hAnsi="仿宋" w:eastAsia="仿宋" w:cs="仿宋"/>
          <w:color w:val="000000"/>
          <w:sz w:val="32"/>
          <w:szCs w:val="32"/>
        </w:rPr>
        <w:t>2</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社会保障和就业</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支出决算为9,117.83万元，完成预算110.12%</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，决算数小于</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等于预算数的主要原因是正常增资使相应的社保支出增加。</w:t>
      </w:r>
    </w:p>
    <w:p>
      <w:pPr>
        <w:ind w:firstLine="643" w:firstLineChars="200"/>
        <w:rPr>
          <w:rStyle w:val="14"/>
          <w:rFonts w:ascii="仿宋" w:hAnsi="仿宋" w:eastAsia="仿宋" w:cs="仿宋"/>
          <w:b w:val="0"/>
          <w:bCs w:val="0"/>
          <w:color w:val="000000"/>
          <w:sz w:val="32"/>
          <w:szCs w:val="32"/>
        </w:rPr>
      </w:pPr>
      <w:r>
        <w:rPr>
          <w:rStyle w:val="14"/>
          <w:rFonts w:hint="eastAsia" w:ascii="仿宋" w:hAnsi="仿宋" w:eastAsia="仿宋" w:cs="仿宋"/>
          <w:color w:val="000000"/>
          <w:sz w:val="32"/>
          <w:szCs w:val="32"/>
        </w:rPr>
        <w:t>3</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医疗卫生与计划生育</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支出决算为2,942.45万元，完成预算100.38%，决算数大于预算数的主要原因正常增资使社会保障缴费基数增加。</w:t>
      </w:r>
    </w:p>
    <w:p>
      <w:pPr>
        <w:ind w:firstLine="640" w:firstLineChars="200"/>
        <w:rPr>
          <w:rFonts w:ascii="仿宋" w:hAnsi="仿宋" w:eastAsia="仿宋"/>
          <w:color w:val="000000"/>
          <w:sz w:val="32"/>
          <w:szCs w:val="32"/>
        </w:rPr>
      </w:pPr>
      <w:r>
        <w:rPr>
          <w:rFonts w:hint="eastAsia" w:ascii="仿宋" w:hAnsi="仿宋" w:eastAsia="仿宋" w:cs="仿宋"/>
          <w:color w:val="000000"/>
          <w:sz w:val="32"/>
          <w:szCs w:val="32"/>
        </w:rPr>
        <w:t>4.</w:t>
      </w:r>
      <w:r>
        <w:rPr>
          <w:rFonts w:hint="eastAsia"/>
        </w:rPr>
        <w:t xml:space="preserve"> </w:t>
      </w:r>
      <w:r>
        <w:rPr>
          <w:rFonts w:hint="eastAsia" w:ascii="仿宋" w:hAnsi="仿宋" w:eastAsia="仿宋" w:cs="仿宋"/>
          <w:color w:val="000000"/>
          <w:sz w:val="32"/>
          <w:szCs w:val="32"/>
        </w:rPr>
        <w:t>农林水</w:t>
      </w:r>
      <w:r>
        <w:rPr>
          <w:rFonts w:hint="eastAsia" w:ascii="仿宋" w:hAnsi="仿宋" w:eastAsia="仿宋"/>
          <w:color w:val="000000"/>
          <w:sz w:val="32"/>
          <w:szCs w:val="32"/>
        </w:rPr>
        <w:t>支出 285.90万元，该项目未列入预算，全部用于教育扶贫救助基金。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w:t>
      </w:r>
      <w:r>
        <w:rPr>
          <w:rFonts w:hint="eastAsia"/>
        </w:rPr>
        <w:t xml:space="preserve"> </w:t>
      </w:r>
      <w:r>
        <w:rPr>
          <w:rFonts w:hint="eastAsia" w:ascii="仿宋" w:hAnsi="仿宋" w:eastAsia="仿宋" w:cs="仿宋"/>
          <w:color w:val="000000"/>
          <w:sz w:val="32"/>
          <w:szCs w:val="32"/>
        </w:rPr>
        <w:t>住房保障支出3,695.59万元，完成预算98.73%，决算数小于预算数原因是单位预算以当年工资为基数，住房公积金管理中心以上年工资为计算基数。</w:t>
      </w: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08</w:t>
      </w:r>
      <w:r>
        <w:rPr>
          <w:rFonts w:hint="eastAsia" w:ascii="仿宋" w:hAnsi="仿宋" w:eastAsia="仿宋" w:cs="仿宋"/>
          <w:b/>
          <w:bCs/>
          <w:color w:val="000000"/>
          <w:sz w:val="32"/>
          <w:szCs w:val="32"/>
        </w:rPr>
        <w:t>表，罗列全部功能分类科目至项级。上述“预算”口径为调整预算数。增减变动原因为决算数</w:t>
      </w:r>
      <w:r>
        <w:rPr>
          <w:rFonts w:ascii="仿宋" w:hAnsi="仿宋" w:eastAsia="仿宋" w:cs="仿宋"/>
          <w:b/>
          <w:bCs/>
          <w:color w:val="000000"/>
          <w:sz w:val="32"/>
          <w:szCs w:val="32"/>
        </w:rPr>
        <w:t>&lt;</w:t>
      </w:r>
      <w:r>
        <w:rPr>
          <w:rFonts w:hint="eastAsia" w:ascii="仿宋" w:hAnsi="仿宋" w:eastAsia="仿宋" w:cs="仿宋"/>
          <w:b/>
          <w:bCs/>
          <w:color w:val="000000"/>
          <w:sz w:val="32"/>
          <w:szCs w:val="32"/>
        </w:rPr>
        <w:t>项级</w:t>
      </w:r>
      <w:r>
        <w:rPr>
          <w:rFonts w:ascii="仿宋" w:hAnsi="仿宋" w:eastAsia="仿宋" w:cs="仿宋"/>
          <w:b/>
          <w:bCs/>
          <w:color w:val="000000"/>
          <w:sz w:val="32"/>
          <w:szCs w:val="32"/>
        </w:rPr>
        <w:t>&gt;</w:t>
      </w:r>
      <w:r>
        <w:rPr>
          <w:rFonts w:hint="eastAsia" w:ascii="仿宋" w:hAnsi="仿宋" w:eastAsia="仿宋" w:cs="仿宋"/>
          <w:b/>
          <w:bCs/>
          <w:color w:val="000000"/>
          <w:sz w:val="32"/>
          <w:szCs w:val="32"/>
        </w:rPr>
        <w:t>和调整预算数</w:t>
      </w:r>
      <w:r>
        <w:rPr>
          <w:rFonts w:ascii="仿宋" w:hAnsi="仿宋" w:eastAsia="仿宋" w:cs="仿宋"/>
          <w:b/>
          <w:bCs/>
          <w:color w:val="000000"/>
          <w:sz w:val="32"/>
          <w:szCs w:val="32"/>
        </w:rPr>
        <w:t>&lt;</w:t>
      </w:r>
      <w:r>
        <w:rPr>
          <w:rFonts w:hint="eastAsia" w:ascii="仿宋" w:hAnsi="仿宋" w:eastAsia="仿宋" w:cs="仿宋"/>
          <w:b/>
          <w:bCs/>
          <w:color w:val="000000"/>
          <w:sz w:val="32"/>
          <w:szCs w:val="32"/>
        </w:rPr>
        <w:t>项级</w:t>
      </w:r>
      <w:r>
        <w:rPr>
          <w:rFonts w:ascii="仿宋" w:hAnsi="仿宋" w:eastAsia="仿宋" w:cs="仿宋"/>
          <w:b/>
          <w:bCs/>
          <w:color w:val="000000"/>
          <w:sz w:val="32"/>
          <w:szCs w:val="32"/>
        </w:rPr>
        <w:t>&gt;</w:t>
      </w:r>
      <w:r>
        <w:rPr>
          <w:rFonts w:hint="eastAsia" w:ascii="仿宋" w:hAnsi="仿宋" w:eastAsia="仿宋" w:cs="仿宋"/>
          <w:b/>
          <w:bCs/>
          <w:color w:val="000000"/>
          <w:sz w:val="32"/>
          <w:szCs w:val="32"/>
        </w:rPr>
        <w:t>比较，与预算数持平可以不写原因。）</w:t>
      </w:r>
    </w:p>
    <w:p>
      <w:pPr>
        <w:spacing w:line="600" w:lineRule="exact"/>
        <w:ind w:firstLine="640"/>
        <w:rPr>
          <w:rFonts w:ascii="仿宋" w:hAnsi="仿宋" w:eastAsia="仿宋"/>
          <w:b/>
          <w:bCs/>
          <w:color w:val="000000"/>
          <w:sz w:val="32"/>
          <w:szCs w:val="32"/>
        </w:rPr>
      </w:pPr>
    </w:p>
    <w:p>
      <w:pPr>
        <w:tabs>
          <w:tab w:val="right" w:pos="8306"/>
        </w:tabs>
        <w:spacing w:line="600" w:lineRule="exact"/>
        <w:ind w:firstLine="640"/>
        <w:outlineLvl w:val="1"/>
        <w:rPr>
          <w:rStyle w:val="17"/>
        </w:rPr>
      </w:pPr>
      <w:bookmarkStart w:id="40" w:name="_Toc15377214"/>
      <w:bookmarkStart w:id="41" w:name="_Toc15396608"/>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般公共预算财政拨款基本支出决算情况说明</w:t>
      </w:r>
      <w:bookmarkEnd w:id="40"/>
      <w:bookmarkEnd w:id="41"/>
      <w:r>
        <w:rPr>
          <w:rStyle w:val="17"/>
          <w:rFonts w:ascii="黑体" w:hAnsi="黑体" w:eastAsia="黑体" w:cs="Times New Roman"/>
          <w:b w:val="0"/>
          <w:bCs w:val="0"/>
        </w:rPr>
        <w:tab/>
      </w:r>
    </w:p>
    <w:p>
      <w:pPr>
        <w:ind w:firstLine="640" w:firstLineChars="20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基本支出59,127.02万元，其中：人员经费51568.30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s="仿宋"/>
          <w:color w:val="000000"/>
          <w:sz w:val="32"/>
          <w:szCs w:val="32"/>
        </w:rPr>
        <w:br w:type="textWrapping"/>
      </w:r>
      <w:r>
        <w:rPr>
          <w:rFonts w:hint="eastAsia" w:ascii="仿宋" w:hAnsi="仿宋" w:eastAsia="仿宋" w:cs="仿宋"/>
          <w:color w:val="000000"/>
          <w:sz w:val="32"/>
          <w:szCs w:val="32"/>
        </w:rPr>
        <w:t>　　公用经费7558.74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07</w:t>
      </w:r>
      <w:r>
        <w:rPr>
          <w:rFonts w:hint="eastAsia" w:ascii="仿宋" w:hAnsi="仿宋" w:eastAsia="仿宋" w:cs="仿宋"/>
          <w:b/>
          <w:bCs/>
          <w:color w:val="000000"/>
          <w:sz w:val="32"/>
          <w:szCs w:val="32"/>
        </w:rPr>
        <w:t>表，根据本部门实际支出情况罗列全部经济分类科目。）</w:t>
      </w:r>
    </w:p>
    <w:p>
      <w:pPr>
        <w:spacing w:line="600" w:lineRule="exact"/>
        <w:ind w:firstLine="640"/>
        <w:rPr>
          <w:rFonts w:ascii="仿宋" w:hAnsi="仿宋" w:eastAsia="仿宋"/>
          <w:b/>
          <w:bCs/>
          <w:color w:val="FF0000"/>
          <w:sz w:val="32"/>
          <w:szCs w:val="32"/>
        </w:rPr>
      </w:pPr>
    </w:p>
    <w:p>
      <w:pPr>
        <w:spacing w:line="600" w:lineRule="exact"/>
        <w:ind w:firstLine="640"/>
        <w:outlineLvl w:val="1"/>
        <w:rPr>
          <w:rStyle w:val="17"/>
          <w:rFonts w:ascii="黑体" w:hAnsi="黑体" w:eastAsia="黑体" w:cs="Times New Roman"/>
          <w:b w:val="0"/>
          <w:bCs w:val="0"/>
        </w:rPr>
      </w:pPr>
      <w:bookmarkStart w:id="42" w:name="_Toc15377215"/>
      <w:bookmarkStart w:id="43" w:name="_Toc15396609"/>
      <w:r>
        <w:rPr>
          <w:rFonts w:hint="eastAsia" w:ascii="黑体" w:eastAsia="黑体" w:cs="黑体"/>
          <w:color w:val="000000"/>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bookmarkEnd w:id="42"/>
      <w:bookmarkEnd w:id="43"/>
    </w:p>
    <w:p>
      <w:pPr>
        <w:spacing w:line="600" w:lineRule="exact"/>
        <w:ind w:firstLine="640"/>
        <w:outlineLvl w:val="2"/>
        <w:rPr>
          <w:rFonts w:ascii="仿宋" w:hAnsi="仿宋" w:eastAsia="仿宋"/>
          <w:b/>
          <w:bCs/>
          <w:color w:val="000000"/>
          <w:sz w:val="32"/>
          <w:szCs w:val="32"/>
        </w:rPr>
      </w:pPr>
      <w:bookmarkStart w:id="44" w:name="_Toc15377216"/>
      <w:r>
        <w:rPr>
          <w:rFonts w:hint="eastAsia" w:ascii="仿宋" w:hAnsi="仿宋" w:eastAsia="仿宋" w:cs="仿宋"/>
          <w:b/>
          <w:bCs/>
          <w:color w:val="000000"/>
          <w:sz w:val="32"/>
          <w:szCs w:val="32"/>
        </w:rPr>
        <w:t>（一）“三公”经费财政拨款支出决算总体情况说明</w:t>
      </w:r>
      <w:bookmarkEnd w:id="44"/>
    </w:p>
    <w:p>
      <w:pPr>
        <w:ind w:firstLine="640" w:firstLineChars="200"/>
        <w:rPr>
          <w:rFonts w:ascii="仿宋" w:hAnsi="仿宋" w:eastAsia="仿宋" w:cs="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年“三公”经费财政拨款支出决算为23.77万元，完成预算48.74</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，决算数小于预算数的主要原因是压减“三公”经费开支。</w:t>
      </w: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（上述“预算”口径为调整预算数，包括政府性基金支出决算情况。）</w:t>
      </w:r>
    </w:p>
    <w:p>
      <w:pPr>
        <w:spacing w:line="600" w:lineRule="exact"/>
        <w:ind w:firstLine="640"/>
        <w:outlineLvl w:val="2"/>
        <w:rPr>
          <w:rFonts w:ascii="仿宋" w:hAnsi="仿宋" w:eastAsia="仿宋"/>
          <w:b/>
          <w:bCs/>
          <w:color w:val="000000"/>
          <w:sz w:val="32"/>
          <w:szCs w:val="32"/>
        </w:rPr>
      </w:pPr>
      <w:bookmarkStart w:id="45" w:name="_Toc15377217"/>
      <w:r>
        <w:rPr>
          <w:rFonts w:hint="eastAsia" w:ascii="仿宋" w:hAnsi="仿宋" w:eastAsia="仿宋" w:cs="仿宋"/>
          <w:b/>
          <w:bCs/>
          <w:color w:val="000000"/>
          <w:sz w:val="32"/>
          <w:szCs w:val="32"/>
        </w:rPr>
        <w:t>（二）“三公”经费财政拨款支出决算具体情况说明</w:t>
      </w:r>
      <w:bookmarkEnd w:id="45"/>
    </w:p>
    <w:p>
      <w:pPr>
        <w:ind w:firstLine="640" w:firstLineChars="200"/>
        <w:rPr>
          <w:rFonts w:ascii="仿宋" w:hAnsi="仿宋" w:eastAsia="仿宋" w:cs="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年“三公”经费财政拨款支出决算中，因公出国（境）费支出决算20.54万元，占0</w:t>
      </w:r>
      <w:r>
        <w:rPr>
          <w:rFonts w:ascii="仿宋" w:hAnsi="仿宋" w:eastAsia="仿宋" w:cs="仿宋"/>
          <w:color w:val="000000"/>
          <w:sz w:val="32"/>
          <w:szCs w:val="32"/>
        </w:rPr>
        <w:t>%</w:t>
      </w:r>
      <w:r>
        <w:rPr>
          <w:rFonts w:hint="eastAsia" w:ascii="仿宋" w:hAnsi="仿宋" w:eastAsia="仿宋" w:cs="仿宋"/>
          <w:color w:val="000000"/>
          <w:sz w:val="32"/>
          <w:szCs w:val="32"/>
        </w:rPr>
        <w:t>；公务用车购置及运行维护费支出决算20.54万元，占</w:t>
      </w:r>
      <w:r>
        <w:rPr>
          <w:rFonts w:ascii="仿宋" w:hAnsi="仿宋" w:eastAsia="仿宋" w:cs="仿宋"/>
          <w:color w:val="000000"/>
          <w:sz w:val="32"/>
          <w:szCs w:val="32"/>
        </w:rPr>
        <w:t>86.41%</w:t>
      </w:r>
      <w:r>
        <w:rPr>
          <w:rFonts w:hint="eastAsia" w:ascii="仿宋" w:hAnsi="仿宋" w:eastAsia="仿宋" w:cs="仿宋"/>
          <w:color w:val="000000"/>
          <w:sz w:val="32"/>
          <w:szCs w:val="32"/>
        </w:rPr>
        <w:t>；公务接待费支出决算3.23万元，占</w:t>
      </w:r>
      <w:r>
        <w:rPr>
          <w:rFonts w:ascii="仿宋" w:hAnsi="仿宋" w:eastAsia="仿宋" w:cs="仿宋"/>
          <w:color w:val="000000"/>
          <w:sz w:val="32"/>
          <w:szCs w:val="32"/>
        </w:rPr>
        <w:t>13.59%</w:t>
      </w:r>
      <w:r>
        <w:rPr>
          <w:rFonts w:hint="eastAsia" w:ascii="仿宋" w:hAnsi="仿宋" w:eastAsia="仿宋" w:cs="仿宋"/>
          <w:color w:val="000000"/>
          <w:sz w:val="32"/>
          <w:szCs w:val="32"/>
        </w:rPr>
        <w:t>。具体情况如下：</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8</w:t>
      </w:r>
      <w:r>
        <w:rPr>
          <w:rFonts w:hint="eastAsia" w:ascii="仿宋" w:hAnsi="仿宋" w:eastAsia="仿宋" w:cs="仿宋"/>
          <w:color w:val="000000"/>
          <w:sz w:val="32"/>
          <w:szCs w:val="32"/>
        </w:rPr>
        <w:t>：“三公”经费财政拨款支出结构）（饼状图）</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5408" behindDoc="0" locked="0" layoutInCell="1" allowOverlap="1">
            <wp:simplePos x="0" y="0"/>
            <wp:positionH relativeFrom="margin">
              <wp:align>center</wp:align>
            </wp:positionH>
            <wp:positionV relativeFrom="margin">
              <wp:posOffset>-28575</wp:posOffset>
            </wp:positionV>
            <wp:extent cx="4572000" cy="2743200"/>
            <wp:effectExtent l="19050" t="0" r="1905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hint="eastAsia" w:ascii="仿宋_GB2312" w:eastAsia="仿宋_GB2312" w:cs="仿宋_GB2312"/>
          <w:color w:val="000000"/>
          <w:sz w:val="32"/>
          <w:szCs w:val="32"/>
        </w:rPr>
        <w:t>0万元，</w:t>
      </w:r>
      <w:r>
        <w:rPr>
          <w:rStyle w:val="14"/>
          <w:rFonts w:hint="eastAsia" w:ascii="仿宋" w:hAnsi="仿宋" w:eastAsia="仿宋" w:cs="仿宋"/>
          <w:b w:val="0"/>
          <w:bCs w:val="0"/>
          <w:color w:val="000000"/>
          <w:sz w:val="32"/>
          <w:szCs w:val="32"/>
        </w:rPr>
        <w:t>完成预算0</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全年安排因公出国（境）团组0次，出国（境）0人。因公出国（境）支出决算比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w:t>
      </w:r>
      <w:r>
        <w:rPr>
          <w:rFonts w:hint="eastAsia" w:ascii="仿宋_GB2312" w:eastAsia="仿宋_GB2312" w:cs="仿宋_GB2312"/>
          <w:color w:val="000000"/>
          <w:sz w:val="32"/>
          <w:szCs w:val="32"/>
        </w:rPr>
        <w:t>减少0万元，增长</w:t>
      </w:r>
      <w:r>
        <w:rPr>
          <w:rFonts w:ascii="仿宋_GB2312" w:eastAsia="仿宋_GB2312" w:cs="仿宋_GB2312"/>
          <w:color w:val="000000"/>
          <w:sz w:val="32"/>
          <w:szCs w:val="32"/>
        </w:rPr>
        <w:t>/</w:t>
      </w:r>
      <w:r>
        <w:rPr>
          <w:rFonts w:hint="eastAsia" w:ascii="仿宋_GB2312" w:eastAsia="仿宋_GB2312" w:cs="仿宋_GB2312"/>
          <w:color w:val="000000"/>
          <w:sz w:val="32"/>
          <w:szCs w:val="32"/>
        </w:rPr>
        <w:t>下降0</w:t>
      </w:r>
      <w:r>
        <w:rPr>
          <w:rFonts w:ascii="仿宋_GB2312" w:eastAsia="仿宋_GB2312" w:cs="仿宋_GB2312"/>
          <w:color w:val="000000"/>
          <w:sz w:val="32"/>
          <w:szCs w:val="32"/>
        </w:rPr>
        <w:t>%</w:t>
      </w:r>
      <w:r>
        <w:rPr>
          <w:rFonts w:hint="eastAsia" w:ascii="仿宋_GB2312" w:eastAsia="仿宋_GB2312" w:cs="仿宋_GB2312"/>
          <w:color w:val="000000"/>
          <w:sz w:val="32"/>
          <w:szCs w:val="32"/>
        </w:rPr>
        <w:t>。两年均未发生因公出国出（境）。</w:t>
      </w:r>
    </w:p>
    <w:p>
      <w:pPr>
        <w:rPr>
          <w:rFonts w:ascii="仿宋_GB2312" w:eastAsia="仿宋_GB2312" w:cs="仿宋_GB2312"/>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hint="eastAsia" w:ascii="仿宋_GB2312" w:eastAsia="仿宋_GB2312" w:cs="仿宋_GB2312"/>
          <w:color w:val="000000"/>
          <w:sz w:val="32"/>
          <w:szCs w:val="32"/>
        </w:rPr>
        <w:t>20.54万元</w:t>
      </w:r>
      <w:r>
        <w:rPr>
          <w:rFonts w:ascii="仿宋_GB2312" w:eastAsia="仿宋_GB2312" w:cs="仿宋_GB2312"/>
          <w:color w:val="000000"/>
          <w:sz w:val="32"/>
          <w:szCs w:val="32"/>
        </w:rPr>
        <w:t>,</w:t>
      </w:r>
      <w:r>
        <w:rPr>
          <w:rFonts w:hint="eastAsia" w:ascii="仿宋_GB2312" w:eastAsia="仿宋_GB2312" w:cs="仿宋_GB2312"/>
        </w:rPr>
        <w:t>完成预算60.41</w:t>
      </w:r>
      <w:r>
        <w:rPr>
          <w:rFonts w:ascii="仿宋_GB2312" w:eastAsia="仿宋_GB2312" w:cs="仿宋_GB2312"/>
        </w:rPr>
        <w:t>%</w:t>
      </w:r>
      <w:r>
        <w:rPr>
          <w:rFonts w:hint="eastAsia" w:ascii="仿宋_GB2312" w:eastAsia="仿宋_GB2312" w:cs="仿宋_GB2312"/>
        </w:rPr>
        <w:t>。</w:t>
      </w:r>
      <w:r>
        <w:rPr>
          <w:rFonts w:hint="eastAsia" w:ascii="仿宋_GB2312" w:eastAsia="仿宋_GB2312" w:cs="仿宋_GB2312"/>
          <w:color w:val="000000"/>
          <w:sz w:val="32"/>
          <w:szCs w:val="32"/>
        </w:rPr>
        <w:t>公务用车购置及运行维护费支出决算比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年增加1.45 万元，增长7.60%</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。主要原因是车辆老旧，维护费用略有增加。</w:t>
      </w:r>
    </w:p>
    <w:p>
      <w:pPr>
        <w:spacing w:line="600" w:lineRule="exact"/>
        <w:ind w:firstLine="640" w:firstLineChars="200"/>
        <w:rPr>
          <w:rFonts w:ascii="仿宋_GB2312" w:eastAsia="仿宋_GB2312"/>
          <w:b/>
          <w:bCs/>
          <w:color w:val="000000"/>
          <w:sz w:val="32"/>
          <w:szCs w:val="32"/>
        </w:rPr>
      </w:pPr>
      <w:r>
        <w:rPr>
          <w:rFonts w:hint="eastAsia" w:ascii="仿宋_GB2312" w:eastAsia="仿宋_GB2312" w:cs="仿宋_GB2312"/>
          <w:color w:val="000000"/>
          <w:sz w:val="32"/>
          <w:szCs w:val="32"/>
        </w:rPr>
        <w:t>其中：</w:t>
      </w:r>
      <w:r>
        <w:rPr>
          <w:rFonts w:hint="eastAsia" w:ascii="仿宋_GB2312" w:eastAsia="仿宋_GB2312" w:cs="仿宋_GB2312"/>
          <w:b/>
          <w:bCs/>
          <w:color w:val="000000"/>
          <w:sz w:val="32"/>
          <w:szCs w:val="32"/>
        </w:rPr>
        <w:t>公务用车购置支出</w:t>
      </w:r>
      <w:r>
        <w:rPr>
          <w:rFonts w:hint="eastAsia" w:ascii="仿宋_GB2312" w:eastAsia="仿宋_GB2312" w:cs="仿宋_GB2312"/>
          <w:color w:val="000000"/>
          <w:sz w:val="32"/>
          <w:szCs w:val="32"/>
        </w:rPr>
        <w:t>0万元。全年未新购车辆。</w:t>
      </w:r>
    </w:p>
    <w:p>
      <w:pPr>
        <w:spacing w:line="600" w:lineRule="exact"/>
        <w:ind w:firstLine="640"/>
        <w:rPr>
          <w:rFonts w:ascii="仿宋_GB2312" w:eastAsia="仿宋_GB2312" w:cs="仿宋_GB2312"/>
          <w:color w:val="000000"/>
          <w:sz w:val="32"/>
          <w:szCs w:val="32"/>
        </w:rPr>
      </w:pPr>
      <w:r>
        <w:rPr>
          <w:rFonts w:hint="eastAsia" w:ascii="仿宋_GB2312" w:eastAsia="仿宋_GB2312" w:cs="仿宋_GB2312"/>
          <w:b/>
          <w:bCs/>
          <w:color w:val="000000"/>
          <w:sz w:val="32"/>
          <w:szCs w:val="32"/>
        </w:rPr>
        <w:t>公务用车运行维护费支出</w:t>
      </w:r>
      <w:r>
        <w:rPr>
          <w:rFonts w:hint="eastAsia" w:ascii="仿宋_GB2312" w:eastAsia="仿宋_GB2312" w:cs="仿宋_GB2312"/>
          <w:color w:val="000000"/>
          <w:sz w:val="32"/>
          <w:szCs w:val="32"/>
        </w:rPr>
        <w:t>20.54万元。主要用于教育教学工作等所需的公务用车燃料费、维修费、过路过桥费、保险费等支出。</w:t>
      </w:r>
    </w:p>
    <w:p>
      <w:pPr>
        <w:rPr>
          <w:rFonts w:ascii="仿宋_GB2312" w:eastAsia="仿宋_GB2312" w:cs="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hint="eastAsia" w:ascii="仿宋_GB2312" w:eastAsia="仿宋_GB2312" w:cs="仿宋_GB2312"/>
          <w:color w:val="000000"/>
          <w:sz w:val="32"/>
          <w:szCs w:val="32"/>
        </w:rPr>
        <w:t>3.23万元，</w:t>
      </w:r>
      <w:r>
        <w:rPr>
          <w:rStyle w:val="14"/>
          <w:rFonts w:hint="eastAsia" w:ascii="仿宋" w:hAnsi="仿宋" w:eastAsia="仿宋" w:cs="仿宋"/>
          <w:b w:val="0"/>
          <w:bCs w:val="0"/>
          <w:color w:val="000000"/>
          <w:sz w:val="32"/>
          <w:szCs w:val="32"/>
        </w:rPr>
        <w:t>完成预算29.99</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公务接待费支出决算比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年增加0.17 万元，增长5.56%</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。主要原因是当年公务接待任务略有增加。</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主要用于执行公务、开展业务活动开支的交通费、住宿费、用餐费等。国内公务接待39批次，430人次（不包括陪同人员），共计支出3.23万元。</w:t>
      </w:r>
    </w:p>
    <w:p>
      <w:pPr>
        <w:spacing w:line="600" w:lineRule="exact"/>
        <w:ind w:firstLine="643" w:firstLineChars="200"/>
        <w:rPr>
          <w:rFonts w:ascii="仿宋_GB2312" w:eastAsia="仿宋_GB2312" w:cs="仿宋_GB2312"/>
          <w:color w:val="000000"/>
          <w:sz w:val="32"/>
          <w:szCs w:val="32"/>
        </w:rPr>
      </w:pPr>
      <w:r>
        <w:rPr>
          <w:rFonts w:hint="eastAsia" w:ascii="仿宋" w:hAnsi="仿宋" w:eastAsia="仿宋" w:cs="仿宋"/>
          <w:b/>
          <w:bCs/>
          <w:color w:val="000000"/>
          <w:sz w:val="32"/>
          <w:szCs w:val="32"/>
        </w:rPr>
        <w:t>外事接待支出</w:t>
      </w:r>
      <w:r>
        <w:rPr>
          <w:rFonts w:hint="eastAsia" w:ascii="仿宋_GB2312" w:eastAsia="仿宋_GB2312" w:cs="仿宋_GB2312"/>
          <w:color w:val="000000"/>
          <w:sz w:val="32"/>
          <w:szCs w:val="32"/>
        </w:rPr>
        <w:t>0万元，外事接待0批次，0人，共计支出0万元，当年未发生外事接待支出。</w:t>
      </w:r>
    </w:p>
    <w:p>
      <w:pPr>
        <w:spacing w:line="600" w:lineRule="exact"/>
        <w:ind w:firstLine="640"/>
        <w:rPr>
          <w:rFonts w:ascii="仿宋_GB2312" w:eastAsia="仿宋_GB2312"/>
          <w:color w:val="000000"/>
          <w:sz w:val="32"/>
          <w:szCs w:val="32"/>
        </w:rPr>
      </w:pPr>
      <w:r>
        <w:rPr>
          <w:rFonts w:hint="eastAsia" w:ascii="仿宋" w:hAnsi="仿宋" w:eastAsia="仿宋" w:cs="仿宋"/>
          <w:b/>
          <w:bCs/>
          <w:color w:val="000000"/>
          <w:sz w:val="32"/>
          <w:szCs w:val="32"/>
        </w:rPr>
        <w:t>其他国内公务接待支出</w:t>
      </w:r>
      <w:r>
        <w:rPr>
          <w:rFonts w:hint="eastAsia" w:ascii="仿宋_GB2312" w:eastAsia="仿宋_GB2312" w:cs="仿宋_GB2312"/>
          <w:color w:val="000000"/>
          <w:sz w:val="32"/>
          <w:szCs w:val="32"/>
        </w:rPr>
        <w:t>0万元。</w:t>
      </w:r>
    </w:p>
    <w:p>
      <w:pPr>
        <w:spacing w:line="600" w:lineRule="exact"/>
        <w:ind w:firstLine="640"/>
        <w:outlineLvl w:val="1"/>
        <w:rPr>
          <w:rStyle w:val="17"/>
          <w:rFonts w:ascii="黑体" w:hAnsi="黑体" w:eastAsia="黑体" w:cs="Times New Roman"/>
        </w:rPr>
      </w:pPr>
      <w:bookmarkStart w:id="46" w:name="_Toc15377218"/>
      <w:bookmarkStart w:id="47" w:name="_Toc15396610"/>
      <w:r>
        <w:rPr>
          <w:rFonts w:hint="eastAsia" w:ascii="黑体" w:eastAsia="黑体" w:cs="黑体"/>
          <w:color w:val="000000"/>
          <w:sz w:val="32"/>
          <w:szCs w:val="32"/>
        </w:rPr>
        <w:t>八、</w:t>
      </w:r>
      <w:r>
        <w:rPr>
          <w:rStyle w:val="17"/>
          <w:rFonts w:hint="eastAsia" w:ascii="黑体" w:hAnsi="黑体" w:eastAsia="黑体" w:cs="黑体"/>
          <w:b w:val="0"/>
          <w:bCs w:val="0"/>
        </w:rPr>
        <w:t>政府性基金预算支出决算情况说明</w:t>
      </w:r>
      <w:bookmarkEnd w:id="46"/>
      <w:bookmarkEnd w:id="47"/>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年政府性基金预算拨款支出24.00万元。内容是彩票公益金安排的乡村少年宫运行维护支出。</w:t>
      </w:r>
    </w:p>
    <w:p>
      <w:pPr>
        <w:numPr>
          <w:ilvl w:val="0"/>
          <w:numId w:val="3"/>
        </w:numPr>
        <w:spacing w:line="600" w:lineRule="exact"/>
        <w:ind w:firstLine="640"/>
        <w:outlineLvl w:val="1"/>
        <w:rPr>
          <w:rStyle w:val="17"/>
          <w:rFonts w:ascii="黑体" w:hAnsi="黑体" w:eastAsia="黑体" w:cs="Times New Roman"/>
          <w:b w:val="0"/>
          <w:bCs w:val="0"/>
        </w:rPr>
      </w:pPr>
      <w:bookmarkStart w:id="48" w:name="_Toc15377219"/>
      <w:bookmarkStart w:id="49" w:name="_Toc15396611"/>
      <w:r>
        <w:rPr>
          <w:rStyle w:val="17"/>
          <w:rFonts w:hint="eastAsia" w:ascii="黑体" w:hAnsi="黑体" w:eastAsia="黑体" w:cs="黑体"/>
          <w:b w:val="0"/>
          <w:bCs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年国有资本经营预算拨款支出0万元。</w:t>
      </w:r>
    </w:p>
    <w:p>
      <w:pPr>
        <w:pStyle w:val="26"/>
        <w:numPr>
          <w:ilvl w:val="0"/>
          <w:numId w:val="4"/>
        </w:numPr>
        <w:spacing w:line="580" w:lineRule="exact"/>
        <w:ind w:firstLineChars="0"/>
        <w:rPr>
          <w:rStyle w:val="17"/>
          <w:rFonts w:ascii="黑体" w:hAnsi="黑体" w:eastAsia="黑体" w:cs="Times New Roman"/>
          <w:b w:val="0"/>
          <w:bCs w:val="0"/>
        </w:rPr>
      </w:pPr>
      <w:r>
        <w:rPr>
          <w:rStyle w:val="17"/>
          <w:rFonts w:hint="eastAsia" w:ascii="黑体" w:hAnsi="黑体" w:eastAsia="黑体" w:cs="黑体"/>
          <w:b w:val="0"/>
          <w:bCs w:val="0"/>
        </w:rPr>
        <w:t>预算绩效情况说明</w:t>
      </w:r>
    </w:p>
    <w:p>
      <w:pPr>
        <w:numPr>
          <w:ilvl w:val="0"/>
          <w:numId w:val="5"/>
        </w:numPr>
        <w:spacing w:line="580" w:lineRule="exact"/>
        <w:ind w:firstLine="643"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单位）在年初预算编制阶段，组织对保安经费等8个项目开展了预算事前绩效评估，对8个项目编制了绩效目标，预算执行过程中，选取8个项目开展绩效监控，年终执行完毕后，对8个项目开展了绩效目标完成情况梳理填报。</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我局紧紧围绕“办人民满意教育”这个中心。加快普惠性学前教育发展。牢牢把握“提高教育质量”、“促进教育公平”两大主题。稳步提高教育质量。着力突出“优化教育布局、强化师资队伍、改善办学条件”三个重点。优化教育规划布局。重点打造“家庭教育、艺体教育、生动德育、教师社团、名师工作室”五大品牌。家校共育激发活力。实现“育人环境更优、师资队伍更强、教学质量更高、教育资助更全、办学行为更规范、区域教育更公平”六个优化，推动“四美广汉”建设。本部门还自行组织了8个项目绩效评价，从评价情况来看安全宣传培训4次；配置学校保安人员183人；召开校（园）长工作部署会，党建、党风廉政建设、教学管理业务工作会专题会议等32人；慰问困难教职工、离退休人员1000人次；开展退休干部活动4次；督导公民办学校所数90所；对学校进行安全鉴定4所；安全鉴定校舍面积25000平方米；成人教育师资队伍建设共聘请专家34人；成人教育扫盲班县级34次、乡镇17次、村级17次；成人教育农业技术引进乡镇10次；开展成人教育职前培训乡镇15次；实训基地建设17个乡镇农村成人文化技术学校实训基地；农村成人学校惠及人数10000人次；服务学生人数60992人；新建立数据库各校园每年新建新生数据库53个用户端数据；新增培训数据管理员人数53人次；208年10月30日前完成硕博直聘、免费师范生的招聘15名免费师范生和25名硕士研究生；2018年7月30日前完成团聚兴业、引才兴市教师遴选20名广汉域外在编在岗符合招聘条件的中小学校教师；2018年7月底前完成张仁刚支教补助的发放完成省委组织部、省教育厅规定支教目标；2018年12月底前完成教育系统460名干部人事档案数字化建设完成干部人事档案硬件建设和920卷人事档案数字化；广汉中学迁建项目等需求论证8个；广汉职中校园视频数字监控及广播系统项目建设采购项目等项目履约验收7个；完成省市县级课题申报立项工作省级1项、市级8项、县级40项；各类学生竞赛活动15次；足球教师专项培训12次；中小学足球联赛130场；教师节表彰会1次；教师节表彰奖励优秀教师1000人；各级各类学校质量考核53所；高中学校高考奖励4所；初中学校中考奖励14所；开展工作室研修活动15个工作室，共计281人，开展各级各类交流研讨活动不低于30次；完成骨干教师履职考核各级在职“骨干教师”共计316人；完成各级各类培训项目共33类培训项目，设计1722人次。；维护县级考务指挥中心1个；维护标准化考场143个；维护保密室4个；维护校级指挥平台3个；各中小学校、幼儿园、直属事业单位开展团队活动50次；各中小学校、幼儿园、直属事业单位集体福利设施建设4个；中小学校租用学校附近土地面积200亩；开展教育系统内部审计学校所数12个；为公办学校开展校方责任险学校所数53所。</w:t>
      </w:r>
    </w:p>
    <w:p>
      <w:pPr>
        <w:numPr>
          <w:ilvl w:val="0"/>
          <w:numId w:val="5"/>
        </w:numPr>
        <w:spacing w:line="580" w:lineRule="exact"/>
        <w:ind w:firstLine="643" w:firstLineChars="200"/>
        <w:rPr>
          <w:rFonts w:ascii="仿宋_GB2312" w:hAnsi="仿宋_GB2312" w:eastAsia="仿宋_GB2312"/>
          <w:sz w:val="32"/>
          <w:szCs w:val="32"/>
        </w:rPr>
      </w:pPr>
      <w:r>
        <w:rPr>
          <w:rFonts w:hint="eastAsia" w:ascii="仿宋" w:hAnsi="仿宋" w:eastAsia="仿宋" w:cs="仿宋"/>
          <w:b/>
          <w:bCs/>
          <w:sz w:val="32"/>
          <w:szCs w:val="32"/>
        </w:rPr>
        <w:t>项目绩效目标完成情况。</w:t>
      </w:r>
      <w:r>
        <w:rPr>
          <w:rFonts w:ascii="楷体_GB2312" w:hAnsi="楷体_GB2312" w:eastAsia="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年度部门决算中反映“保安经费””</w:t>
      </w:r>
      <w:r>
        <w:rPr>
          <w:rFonts w:hint="eastAsia"/>
        </w:rPr>
        <w:t xml:space="preserve"> </w:t>
      </w:r>
      <w:r>
        <w:rPr>
          <w:rFonts w:hint="eastAsia" w:ascii="仿宋_GB2312" w:hAnsi="仿宋_GB2312" w:eastAsia="仿宋_GB2312" w:cs="仿宋_GB2312"/>
          <w:sz w:val="32"/>
          <w:szCs w:val="32"/>
        </w:rPr>
        <w:t>教师节会务、慰问及教育教学成果考核奖（含中考奖、高考奖）”“土地租金及青苗补偿费”等8个项目绩效目标实际完成情况。</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保安经费项目绩效目标完成情况综述。项目全年预算数</w:t>
      </w:r>
      <w:r>
        <w:rPr>
          <w:rFonts w:ascii="仿宋_GB2312" w:hAnsi="仿宋_GB2312" w:eastAsia="仿宋_GB2312" w:cs="仿宋_GB2312"/>
          <w:sz w:val="32"/>
          <w:szCs w:val="32"/>
        </w:rPr>
        <w:t>561.32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561.32</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。通过项目实施，进一步做好了各中小学幼儿园安全工作，加强了校园安全防范薄弱环节，确保了全市师生和校园安全，实现了平安和谐校园建设。</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土地租金及青苗补偿费。项目全年预算数43万元，执行数为43万元，完成预算的100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。通过项目实施，租用学校周边土地201亩，弥补了学校现有用地面积不足。</w:t>
      </w:r>
    </w:p>
    <w:p>
      <w:pPr>
        <w:numPr>
          <w:ilvl w:val="0"/>
          <w:numId w:val="6"/>
        </w:num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骨干教师奖励项目绩效目标完成情况综述。项目全年预算数40万元，执行数为40万元，完成预算的100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。通过项目实施，完成广汉市级教坛新秀26人、骨干教师119人、学科带头人14人，德阳市级教坛新秀14人、骨干教师68人、学科带头人19人，四川省骨干教师53人，特级教师3人的履职考核工作。</w:t>
      </w:r>
    </w:p>
    <w:p>
      <w:pPr>
        <w:tabs>
          <w:tab w:val="left" w:pos="312"/>
        </w:tabs>
        <w:spacing w:line="580" w:lineRule="exact"/>
        <w:rPr>
          <w:rFonts w:ascii="仿宋_GB2312" w:hAnsi="仿宋_GB2312" w:eastAsia="仿宋_GB2312"/>
          <w:sz w:val="32"/>
          <w:szCs w:val="32"/>
        </w:rPr>
      </w:pPr>
      <w:r>
        <w:rPr>
          <w:rFonts w:hint="eastAsia" w:ascii="仿宋_GB2312" w:hAnsi="仿宋_GB2312" w:eastAsia="仿宋_GB2312"/>
          <w:sz w:val="32"/>
          <w:szCs w:val="32"/>
        </w:rPr>
        <w:t xml:space="preserve">    4、教师节会务、慰问及教育教学成果考核奖（含中考奖、高考奖）。通过对各级各类学校教育教学质量进行考核，鼓励学校落实立德树人根本任务，办优质品牌学校，促进学生综合素质全面发展，办人民满意教育；通过表彰奖励优秀教师，树立典型，激发教师工作的积极性和创造性，鼓励教师走专业成长道路；通过奖励中考、高考，牢固树立质量就是生命线的意识，鼓励教师认真工作取得优异成绩，促进教育教学质量稳步提升。具体实施情况见完成情况表。</w:t>
      </w:r>
    </w:p>
    <w:p>
      <w:pPr>
        <w:rPr>
          <w:rFonts w:ascii="Calibri" w:hAnsi="Calibri" w:cs="Calibri"/>
        </w:rPr>
      </w:pPr>
    </w:p>
    <w:tbl>
      <w:tblPr>
        <w:tblStyle w:val="12"/>
        <w:tblW w:w="9200" w:type="dxa"/>
        <w:tblInd w:w="93" w:type="dxa"/>
        <w:tblLayout w:type="autofit"/>
        <w:tblCellMar>
          <w:top w:w="0" w:type="dxa"/>
          <w:left w:w="108" w:type="dxa"/>
          <w:bottom w:w="0" w:type="dxa"/>
          <w:right w:w="108" w:type="dxa"/>
        </w:tblCellMar>
      </w:tblPr>
      <w:tblGrid>
        <w:gridCol w:w="740"/>
        <w:gridCol w:w="740"/>
        <w:gridCol w:w="1480"/>
        <w:gridCol w:w="2640"/>
        <w:gridCol w:w="1200"/>
        <w:gridCol w:w="1200"/>
        <w:gridCol w:w="1200"/>
      </w:tblGrid>
      <w:tr>
        <w:tblPrEx>
          <w:tblCellMar>
            <w:top w:w="0" w:type="dxa"/>
            <w:left w:w="108" w:type="dxa"/>
            <w:bottom w:w="0" w:type="dxa"/>
            <w:right w:w="108" w:type="dxa"/>
          </w:tblCellMar>
        </w:tblPrEx>
        <w:trPr>
          <w:trHeight w:val="6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项目支出绩效目标完成情况表</w:t>
            </w:r>
          </w:p>
        </w:tc>
      </w:tr>
      <w:tr>
        <w:tblPrEx>
          <w:tblCellMar>
            <w:top w:w="0" w:type="dxa"/>
            <w:left w:w="108" w:type="dxa"/>
            <w:bottom w:w="0" w:type="dxa"/>
            <w:right w:w="108" w:type="dxa"/>
          </w:tblCellMar>
        </w:tblPrEx>
        <w:trPr>
          <w:trHeight w:val="3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r>
              <w:rPr>
                <w:kern w:val="0"/>
                <w:sz w:val="24"/>
                <w:szCs w:val="24"/>
              </w:rPr>
              <w:t xml:space="preserve"> 2018</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64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6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保安人员经费</w:t>
            </w: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预算单位</w:t>
            </w:r>
          </w:p>
        </w:tc>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广汉市教育局(本级)</w:t>
            </w:r>
          </w:p>
        </w:tc>
      </w:tr>
      <w:tr>
        <w:tblPrEx>
          <w:tblCellMar>
            <w:top w:w="0" w:type="dxa"/>
            <w:left w:w="108" w:type="dxa"/>
            <w:bottom w:w="0" w:type="dxa"/>
            <w:right w:w="108" w:type="dxa"/>
          </w:tblCellMar>
        </w:tblPrEx>
        <w:trPr>
          <w:trHeight w:val="439" w:hRule="atLeast"/>
        </w:trPr>
        <w:tc>
          <w:tcPr>
            <w:tcW w:w="2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年度资金总额：561.32万元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其中：财政拨款561.32万元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8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年度目标</w:t>
            </w:r>
          </w:p>
        </w:tc>
      </w:tr>
      <w:tr>
        <w:tblPrEx>
          <w:tblCellMar>
            <w:top w:w="0" w:type="dxa"/>
            <w:left w:w="108" w:type="dxa"/>
            <w:bottom w:w="0" w:type="dxa"/>
            <w:right w:w="108" w:type="dxa"/>
          </w:tblCellMar>
        </w:tblPrEx>
        <w:trPr>
          <w:trHeight w:val="10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460"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2"/>
                <w:szCs w:val="22"/>
              </w:rPr>
            </w:pPr>
            <w:r>
              <w:rPr>
                <w:rFonts w:hint="eastAsia" w:ascii="宋体" w:hAnsi="宋体" w:cs="宋体"/>
                <w:kern w:val="0"/>
                <w:sz w:val="22"/>
                <w:szCs w:val="22"/>
              </w:rPr>
              <w:t xml:space="preserve">    全面贯彻落实《关于印发〈四川省中小学幼儿园安全防范工作规范（试行）〉的通知》（川公发201543号）文件要求，进一步做好各中小学幼儿园安全工作，加强校园安全防范薄弱环节，确保全市师生和校园安全，实现平安和谐校园建设。</w:t>
            </w:r>
          </w:p>
        </w:tc>
      </w:tr>
      <w:tr>
        <w:tblPrEx>
          <w:tblCellMar>
            <w:top w:w="0" w:type="dxa"/>
            <w:left w:w="108" w:type="dxa"/>
            <w:bottom w:w="0" w:type="dxa"/>
            <w:right w:w="108" w:type="dxa"/>
          </w:tblCellMar>
        </w:tblPrEx>
        <w:trPr>
          <w:trHeight w:val="94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绩</w:t>
            </w:r>
            <w:r>
              <w:rPr>
                <w:rFonts w:hint="eastAsia" w:ascii="宋体" w:hAnsi="宋体" w:cs="宋体"/>
                <w:kern w:val="0"/>
                <w:sz w:val="22"/>
                <w:szCs w:val="22"/>
              </w:rPr>
              <w:br w:type="textWrapping"/>
            </w:r>
            <w:r>
              <w:rPr>
                <w:rFonts w:hint="eastAsia" w:ascii="宋体" w:hAnsi="宋体" w:cs="宋体"/>
                <w:kern w:val="0"/>
                <w:sz w:val="22"/>
                <w:szCs w:val="22"/>
              </w:rPr>
              <w:t>效</w:t>
            </w:r>
            <w:r>
              <w:rPr>
                <w:rFonts w:hint="eastAsia" w:ascii="宋体" w:hAnsi="宋体" w:cs="宋体"/>
                <w:kern w:val="0"/>
                <w:sz w:val="22"/>
                <w:szCs w:val="22"/>
              </w:rPr>
              <w:br w:type="textWrapping"/>
            </w:r>
            <w:r>
              <w:rPr>
                <w:rFonts w:hint="eastAsia" w:ascii="宋体" w:hAnsi="宋体" w:cs="宋体"/>
                <w:kern w:val="0"/>
                <w:sz w:val="22"/>
                <w:szCs w:val="22"/>
              </w:rPr>
              <w:t>指</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一级</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指标值（包含数字及文字描述）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项目完成</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配置学校保安人数</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183人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服务学校所数</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53所</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服务学生人数</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47500人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服务教师人数</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3900人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保证学校师生和校园安全，完成目标任务。</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完成时间</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2018年12月31日前</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保安人员工资福利标准</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月人均2800元</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维护了学校师生和校园安全</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确保全市师生和校园安全。</w:t>
            </w:r>
          </w:p>
        </w:tc>
      </w:tr>
      <w:tr>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可持续影响</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维护了学校安全稳定</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确保全市3900名教师和47500名学生安全。</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社会群众、学生家长度</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校方满意度</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bl>
    <w:p>
      <w:pPr>
        <w:spacing w:line="580" w:lineRule="exact"/>
        <w:rPr>
          <w:rFonts w:hint="eastAsia" w:ascii="仿宋_GB2312" w:hAnsi="仿宋_GB2312" w:eastAsia="仿宋_GB2312"/>
          <w:sz w:val="32"/>
          <w:szCs w:val="32"/>
        </w:rPr>
      </w:pPr>
    </w:p>
    <w:tbl>
      <w:tblPr>
        <w:tblStyle w:val="12"/>
        <w:tblW w:w="9200" w:type="dxa"/>
        <w:tblInd w:w="93" w:type="dxa"/>
        <w:tblLayout w:type="autofit"/>
        <w:tblCellMar>
          <w:top w:w="0" w:type="dxa"/>
          <w:left w:w="108" w:type="dxa"/>
          <w:bottom w:w="0" w:type="dxa"/>
          <w:right w:w="108" w:type="dxa"/>
        </w:tblCellMar>
      </w:tblPr>
      <w:tblGrid>
        <w:gridCol w:w="740"/>
        <w:gridCol w:w="740"/>
        <w:gridCol w:w="1480"/>
        <w:gridCol w:w="2640"/>
        <w:gridCol w:w="1200"/>
        <w:gridCol w:w="1200"/>
        <w:gridCol w:w="1200"/>
      </w:tblGrid>
      <w:tr>
        <w:tblPrEx>
          <w:tblCellMar>
            <w:top w:w="0" w:type="dxa"/>
            <w:left w:w="108" w:type="dxa"/>
            <w:bottom w:w="0" w:type="dxa"/>
            <w:right w:w="108" w:type="dxa"/>
          </w:tblCellMar>
        </w:tblPrEx>
        <w:trPr>
          <w:trHeight w:val="6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项目支出绩效目标完成情况表</w:t>
            </w:r>
          </w:p>
        </w:tc>
      </w:tr>
      <w:tr>
        <w:tblPrEx>
          <w:tblCellMar>
            <w:top w:w="0" w:type="dxa"/>
            <w:left w:w="108" w:type="dxa"/>
            <w:bottom w:w="0" w:type="dxa"/>
            <w:right w:w="108" w:type="dxa"/>
          </w:tblCellMar>
        </w:tblPrEx>
        <w:trPr>
          <w:trHeight w:val="3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r>
              <w:rPr>
                <w:kern w:val="0"/>
                <w:sz w:val="24"/>
                <w:szCs w:val="24"/>
              </w:rPr>
              <w:t xml:space="preserve"> 2018</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64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6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土地租金及青苗补偿费</w:t>
            </w: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预算单位</w:t>
            </w:r>
          </w:p>
        </w:tc>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广汉市教育局(本级)</w:t>
            </w:r>
          </w:p>
        </w:tc>
      </w:tr>
      <w:tr>
        <w:tblPrEx>
          <w:tblCellMar>
            <w:top w:w="0" w:type="dxa"/>
            <w:left w:w="108" w:type="dxa"/>
            <w:bottom w:w="0" w:type="dxa"/>
            <w:right w:w="108" w:type="dxa"/>
          </w:tblCellMar>
        </w:tblPrEx>
        <w:trPr>
          <w:trHeight w:val="439" w:hRule="atLeast"/>
        </w:trPr>
        <w:tc>
          <w:tcPr>
            <w:tcW w:w="2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年度资金总额：43万元</w:t>
            </w:r>
          </w:p>
        </w:tc>
      </w:tr>
      <w:tr>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其中：财政拨款43万元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8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年度目标</w:t>
            </w:r>
          </w:p>
        </w:tc>
      </w:tr>
      <w:tr>
        <w:tblPrEx>
          <w:tblCellMar>
            <w:top w:w="0" w:type="dxa"/>
            <w:left w:w="108" w:type="dxa"/>
            <w:bottom w:w="0" w:type="dxa"/>
            <w:right w:w="108" w:type="dxa"/>
          </w:tblCellMar>
        </w:tblPrEx>
        <w:trPr>
          <w:trHeight w:val="10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460"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2"/>
                <w:szCs w:val="22"/>
              </w:rPr>
            </w:pPr>
            <w:r>
              <w:rPr>
                <w:rFonts w:hint="eastAsia" w:ascii="宋体" w:hAnsi="宋体" w:cs="宋体"/>
                <w:kern w:val="0"/>
                <w:sz w:val="22"/>
                <w:szCs w:val="22"/>
              </w:rPr>
              <w:t>租用学校周边土地201亩，弥补学校现有用地面积不足。</w:t>
            </w:r>
          </w:p>
        </w:tc>
      </w:tr>
      <w:tr>
        <w:tblPrEx>
          <w:tblCellMar>
            <w:top w:w="0" w:type="dxa"/>
            <w:left w:w="108" w:type="dxa"/>
            <w:bottom w:w="0" w:type="dxa"/>
            <w:right w:w="108" w:type="dxa"/>
          </w:tblCellMar>
        </w:tblPrEx>
        <w:trPr>
          <w:trHeight w:val="94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绩</w:t>
            </w:r>
            <w:r>
              <w:rPr>
                <w:rFonts w:hint="eastAsia" w:ascii="宋体" w:hAnsi="宋体" w:cs="宋体"/>
                <w:kern w:val="0"/>
                <w:sz w:val="22"/>
                <w:szCs w:val="22"/>
              </w:rPr>
              <w:br w:type="textWrapping"/>
            </w:r>
            <w:r>
              <w:rPr>
                <w:rFonts w:hint="eastAsia" w:ascii="宋体" w:hAnsi="宋体" w:cs="宋体"/>
                <w:kern w:val="0"/>
                <w:sz w:val="22"/>
                <w:szCs w:val="22"/>
              </w:rPr>
              <w:t>效</w:t>
            </w:r>
            <w:r>
              <w:rPr>
                <w:rFonts w:hint="eastAsia" w:ascii="宋体" w:hAnsi="宋体" w:cs="宋体"/>
                <w:kern w:val="0"/>
                <w:sz w:val="22"/>
                <w:szCs w:val="22"/>
              </w:rPr>
              <w:br w:type="textWrapping"/>
            </w:r>
            <w:r>
              <w:rPr>
                <w:rFonts w:hint="eastAsia" w:ascii="宋体" w:hAnsi="宋体" w:cs="宋体"/>
                <w:kern w:val="0"/>
                <w:sz w:val="22"/>
                <w:szCs w:val="22"/>
              </w:rPr>
              <w:t>指</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一级</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指标值（包含数字及文字描述）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项目完成</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租用村社土地</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201亩土地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受惠学校</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15所</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受惠学生</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&gt;10000人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保障学校教育教学工作正常用地需求</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执行时间</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2018年12月31日前</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平均土地租金</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1630元/亩</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对学校工作的作用</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保障学校教育教学活动正常开展</w:t>
            </w:r>
          </w:p>
        </w:tc>
      </w:tr>
      <w:tr>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可持续影响</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该项目安排持续时间</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1年</w:t>
            </w:r>
          </w:p>
        </w:tc>
      </w:tr>
      <w:tr>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学校满意度</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学生和社会满意度</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bl>
    <w:p>
      <w:pPr>
        <w:spacing w:line="580" w:lineRule="exact"/>
        <w:rPr>
          <w:rFonts w:hint="eastAsia" w:ascii="仿宋_GB2312" w:hAnsi="仿宋_GB2312" w:eastAsia="仿宋_GB2312"/>
          <w:sz w:val="32"/>
          <w:szCs w:val="32"/>
        </w:rPr>
      </w:pPr>
    </w:p>
    <w:tbl>
      <w:tblPr>
        <w:tblStyle w:val="12"/>
        <w:tblW w:w="9200" w:type="dxa"/>
        <w:tblInd w:w="93" w:type="dxa"/>
        <w:tblLayout w:type="autofit"/>
        <w:tblCellMar>
          <w:top w:w="0" w:type="dxa"/>
          <w:left w:w="108" w:type="dxa"/>
          <w:bottom w:w="0" w:type="dxa"/>
          <w:right w:w="108" w:type="dxa"/>
        </w:tblCellMar>
      </w:tblPr>
      <w:tblGrid>
        <w:gridCol w:w="740"/>
        <w:gridCol w:w="740"/>
        <w:gridCol w:w="1480"/>
        <w:gridCol w:w="2640"/>
        <w:gridCol w:w="1200"/>
        <w:gridCol w:w="1200"/>
        <w:gridCol w:w="1200"/>
      </w:tblGrid>
      <w:tr>
        <w:tblPrEx>
          <w:tblCellMar>
            <w:top w:w="0" w:type="dxa"/>
            <w:left w:w="108" w:type="dxa"/>
            <w:bottom w:w="0" w:type="dxa"/>
            <w:right w:w="108" w:type="dxa"/>
          </w:tblCellMar>
        </w:tblPrEx>
        <w:trPr>
          <w:trHeight w:val="6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项目支出绩效目标完成情况表</w:t>
            </w:r>
          </w:p>
        </w:tc>
      </w:tr>
      <w:tr>
        <w:tblPrEx>
          <w:tblCellMar>
            <w:top w:w="0" w:type="dxa"/>
            <w:left w:w="108" w:type="dxa"/>
            <w:bottom w:w="0" w:type="dxa"/>
            <w:right w:w="108" w:type="dxa"/>
          </w:tblCellMar>
        </w:tblPrEx>
        <w:trPr>
          <w:trHeight w:val="3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r>
              <w:rPr>
                <w:kern w:val="0"/>
                <w:sz w:val="24"/>
                <w:szCs w:val="24"/>
              </w:rPr>
              <w:t xml:space="preserve"> 2018</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64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6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骨干教师奖励</w:t>
            </w: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预算单位</w:t>
            </w:r>
          </w:p>
        </w:tc>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广汉市教育局(本级)</w:t>
            </w:r>
          </w:p>
        </w:tc>
      </w:tr>
      <w:tr>
        <w:tblPrEx>
          <w:tblCellMar>
            <w:top w:w="0" w:type="dxa"/>
            <w:left w:w="108" w:type="dxa"/>
            <w:bottom w:w="0" w:type="dxa"/>
            <w:right w:w="108" w:type="dxa"/>
          </w:tblCellMar>
        </w:tblPrEx>
        <w:trPr>
          <w:trHeight w:val="439" w:hRule="atLeast"/>
        </w:trPr>
        <w:tc>
          <w:tcPr>
            <w:tcW w:w="2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年度资金总额：40万元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其中：财政拨款40万元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8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年度目标</w:t>
            </w:r>
          </w:p>
        </w:tc>
      </w:tr>
      <w:tr>
        <w:tblPrEx>
          <w:tblCellMar>
            <w:top w:w="0" w:type="dxa"/>
            <w:left w:w="108" w:type="dxa"/>
            <w:bottom w:w="0" w:type="dxa"/>
            <w:right w:w="108" w:type="dxa"/>
          </w:tblCellMar>
        </w:tblPrEx>
        <w:trPr>
          <w:trHeight w:val="10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460"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2"/>
                <w:szCs w:val="22"/>
              </w:rPr>
            </w:pPr>
            <w:r>
              <w:rPr>
                <w:rFonts w:hint="eastAsia" w:ascii="宋体" w:hAnsi="宋体" w:cs="宋体"/>
                <w:kern w:val="0"/>
                <w:sz w:val="22"/>
                <w:szCs w:val="22"/>
              </w:rPr>
              <w:t>完成广汉市级教坛新秀26人、骨干教师119人、学科带头人14人，德阳市级教坛新秀14人、骨干教师68人、学科带头人19人，四川省骨干教师53人，特级教师3人的履职考核工作。</w:t>
            </w:r>
          </w:p>
        </w:tc>
      </w:tr>
      <w:tr>
        <w:tblPrEx>
          <w:tblCellMar>
            <w:top w:w="0" w:type="dxa"/>
            <w:left w:w="108" w:type="dxa"/>
            <w:bottom w:w="0" w:type="dxa"/>
            <w:right w:w="108" w:type="dxa"/>
          </w:tblCellMar>
        </w:tblPrEx>
        <w:trPr>
          <w:trHeight w:val="94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绩</w:t>
            </w:r>
            <w:r>
              <w:rPr>
                <w:rFonts w:hint="eastAsia" w:ascii="宋体" w:hAnsi="宋体" w:cs="宋体"/>
                <w:kern w:val="0"/>
                <w:sz w:val="22"/>
                <w:szCs w:val="22"/>
              </w:rPr>
              <w:br w:type="textWrapping"/>
            </w:r>
            <w:r>
              <w:rPr>
                <w:rFonts w:hint="eastAsia" w:ascii="宋体" w:hAnsi="宋体" w:cs="宋体"/>
                <w:kern w:val="0"/>
                <w:sz w:val="22"/>
                <w:szCs w:val="22"/>
              </w:rPr>
              <w:t>效</w:t>
            </w:r>
            <w:r>
              <w:rPr>
                <w:rFonts w:hint="eastAsia" w:ascii="宋体" w:hAnsi="宋体" w:cs="宋体"/>
                <w:kern w:val="0"/>
                <w:sz w:val="22"/>
                <w:szCs w:val="22"/>
              </w:rPr>
              <w:br w:type="textWrapping"/>
            </w:r>
            <w:r>
              <w:rPr>
                <w:rFonts w:hint="eastAsia" w:ascii="宋体" w:hAnsi="宋体" w:cs="宋体"/>
                <w:kern w:val="0"/>
                <w:sz w:val="22"/>
                <w:szCs w:val="22"/>
              </w:rPr>
              <w:t>指</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一级</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指标值（包含数字及文字描述）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项目完成</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广汉市级教坛新秀</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26人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广汉市级骨干教师</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119人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广汉市级学科带头人</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14人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德阳市级教坛新秀</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14人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德阳市级骨干教师</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68人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德阳市学科带头人</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19人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四川省级骨干教师</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53人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特级教师</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合格率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&gt;90%</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完成时间</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2018年12月31日</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广汉市级教坛新秀合格奖励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600元/人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广汉市级骨干教师合格奖励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800元/人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广汉市级学科带头人合格奖励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1000元/人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德阳市级教坛新秀合格奖励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800元/人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德阳市级骨干教师合格奖励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1000元/人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德阳市学科带头人合格奖励</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1500元/人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四川省级骨干教师合格奖励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1500元/人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特级教师合格奖励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2000元/人</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巩固和扩大广汉市名师团队</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在广汉人民心中树立我市优秀教师团队形象。</w:t>
            </w:r>
          </w:p>
        </w:tc>
      </w:tr>
      <w:tr>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可持续影响</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引领和发展更多名师成员</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激发广大教师钻研业务，成为名师的内动力。</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参与教师满意度</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&gt;98%</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参与教师学校满意度</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&gt;98%</w:t>
            </w:r>
          </w:p>
        </w:tc>
      </w:tr>
    </w:tbl>
    <w:p>
      <w:pPr>
        <w:spacing w:line="580" w:lineRule="exact"/>
        <w:rPr>
          <w:rFonts w:hint="eastAsia" w:ascii="仿宋_GB2312" w:hAnsi="仿宋_GB2312" w:eastAsia="仿宋_GB2312"/>
          <w:sz w:val="32"/>
          <w:szCs w:val="32"/>
        </w:rPr>
      </w:pPr>
    </w:p>
    <w:tbl>
      <w:tblPr>
        <w:tblStyle w:val="12"/>
        <w:tblW w:w="9200" w:type="dxa"/>
        <w:tblInd w:w="93" w:type="dxa"/>
        <w:tblLayout w:type="autofit"/>
        <w:tblCellMar>
          <w:top w:w="0" w:type="dxa"/>
          <w:left w:w="108" w:type="dxa"/>
          <w:bottom w:w="0" w:type="dxa"/>
          <w:right w:w="108" w:type="dxa"/>
        </w:tblCellMar>
      </w:tblPr>
      <w:tblGrid>
        <w:gridCol w:w="740"/>
        <w:gridCol w:w="740"/>
        <w:gridCol w:w="1480"/>
        <w:gridCol w:w="2640"/>
        <w:gridCol w:w="1200"/>
        <w:gridCol w:w="1200"/>
        <w:gridCol w:w="1200"/>
      </w:tblGrid>
      <w:tr>
        <w:tblPrEx>
          <w:tblCellMar>
            <w:top w:w="0" w:type="dxa"/>
            <w:left w:w="108" w:type="dxa"/>
            <w:bottom w:w="0" w:type="dxa"/>
            <w:right w:w="108" w:type="dxa"/>
          </w:tblCellMar>
        </w:tblPrEx>
        <w:trPr>
          <w:trHeight w:val="6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项目支出绩效目标完成情况表</w:t>
            </w:r>
          </w:p>
        </w:tc>
      </w:tr>
      <w:tr>
        <w:tblPrEx>
          <w:tblCellMar>
            <w:top w:w="0" w:type="dxa"/>
            <w:left w:w="108" w:type="dxa"/>
            <w:bottom w:w="0" w:type="dxa"/>
            <w:right w:w="108" w:type="dxa"/>
          </w:tblCellMar>
        </w:tblPrEx>
        <w:trPr>
          <w:trHeight w:val="3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r>
              <w:rPr>
                <w:kern w:val="0"/>
                <w:sz w:val="24"/>
                <w:szCs w:val="24"/>
              </w:rPr>
              <w:t xml:space="preserve"> 2018</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64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6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教师节会务、慰问及教育教学成果考核奖（含中考奖、高考奖）</w:t>
            </w: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预算单位</w:t>
            </w:r>
          </w:p>
        </w:tc>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广汉市教育局(本级)</w:t>
            </w:r>
          </w:p>
        </w:tc>
      </w:tr>
      <w:tr>
        <w:tblPrEx>
          <w:tblCellMar>
            <w:top w:w="0" w:type="dxa"/>
            <w:left w:w="108" w:type="dxa"/>
            <w:bottom w:w="0" w:type="dxa"/>
            <w:right w:w="108" w:type="dxa"/>
          </w:tblCellMar>
        </w:tblPrEx>
        <w:trPr>
          <w:trHeight w:val="439" w:hRule="atLeast"/>
        </w:trPr>
        <w:tc>
          <w:tcPr>
            <w:tcW w:w="2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年度资金总额：300万元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其中：财政拨款300万元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8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年度目标</w:t>
            </w:r>
          </w:p>
        </w:tc>
      </w:tr>
      <w:tr>
        <w:tblPrEx>
          <w:tblCellMar>
            <w:top w:w="0" w:type="dxa"/>
            <w:left w:w="108" w:type="dxa"/>
            <w:bottom w:w="0" w:type="dxa"/>
            <w:right w:w="108" w:type="dxa"/>
          </w:tblCellMar>
        </w:tblPrEx>
        <w:trPr>
          <w:trHeight w:val="1182"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460"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2"/>
                <w:szCs w:val="22"/>
              </w:rPr>
            </w:pPr>
            <w:r>
              <w:rPr>
                <w:rFonts w:hint="eastAsia" w:ascii="宋体" w:hAnsi="宋体" w:cs="宋体"/>
                <w:kern w:val="0"/>
                <w:sz w:val="22"/>
                <w:szCs w:val="22"/>
              </w:rPr>
              <w:t>通过对各级各类学校教育教学质量进行考核，鼓励学校落实立德树人根本任务，办优质品牌学校，促进学生综合素质全面发展，办人民满意教育；通过表彰奖励优秀教师，树立典型，激发教师工作的积极性和创造性，鼓励教师走专业成长道路；通过奖励中考、高考，牢固树立质量就是生命线的意识，鼓励教师认真工作取得优异成绩，促进教育教学质量稳步提升。</w:t>
            </w:r>
          </w:p>
        </w:tc>
      </w:tr>
      <w:tr>
        <w:tblPrEx>
          <w:tblCellMar>
            <w:top w:w="0" w:type="dxa"/>
            <w:left w:w="108" w:type="dxa"/>
            <w:bottom w:w="0" w:type="dxa"/>
            <w:right w:w="108" w:type="dxa"/>
          </w:tblCellMar>
        </w:tblPrEx>
        <w:trPr>
          <w:trHeight w:val="94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绩</w:t>
            </w:r>
            <w:r>
              <w:rPr>
                <w:rFonts w:hint="eastAsia" w:ascii="宋体" w:hAnsi="宋体" w:cs="宋体"/>
                <w:kern w:val="0"/>
                <w:sz w:val="22"/>
                <w:szCs w:val="22"/>
              </w:rPr>
              <w:br w:type="textWrapping"/>
            </w:r>
            <w:r>
              <w:rPr>
                <w:rFonts w:hint="eastAsia" w:ascii="宋体" w:hAnsi="宋体" w:cs="宋体"/>
                <w:kern w:val="0"/>
                <w:sz w:val="22"/>
                <w:szCs w:val="22"/>
              </w:rPr>
              <w:t>效</w:t>
            </w:r>
            <w:r>
              <w:rPr>
                <w:rFonts w:hint="eastAsia" w:ascii="宋体" w:hAnsi="宋体" w:cs="宋体"/>
                <w:kern w:val="0"/>
                <w:sz w:val="22"/>
                <w:szCs w:val="22"/>
              </w:rPr>
              <w:br w:type="textWrapping"/>
            </w:r>
            <w:r>
              <w:rPr>
                <w:rFonts w:hint="eastAsia" w:ascii="宋体" w:hAnsi="宋体" w:cs="宋体"/>
                <w:kern w:val="0"/>
                <w:sz w:val="22"/>
                <w:szCs w:val="22"/>
              </w:rPr>
              <w:t>指</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一级</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指标值（包含数字及文字描述）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项目完成</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教师节表彰会</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1次</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教师节表彰奖励优秀教师</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各级各类学校质量考核</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53所</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高中学校高考奖励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4所</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初中学校中考奖励</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14所</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完成各项任务</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各时间节点</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按时间节点完成各级各类学校、教师表彰奖励、考核</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2018年12月31日前</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高考奖励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125万</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中考奖励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60万</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教师节奖励</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100万</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教师节表彰会务费</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15万</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提升学校、教师社会影响力</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学校、教师知名度提高</w:t>
            </w:r>
          </w:p>
        </w:tc>
      </w:tr>
      <w:tr>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可持续影响</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促进学校提升办学品质，促进教师专业成长，提升广汉教育教学质量</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学校办学有特色，质量逐步提升</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教育管理部门满意</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≥95%</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学校、教师满意</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≥95%</w:t>
            </w:r>
          </w:p>
        </w:tc>
      </w:tr>
    </w:tbl>
    <w:p>
      <w:pPr>
        <w:spacing w:line="580" w:lineRule="exact"/>
        <w:rPr>
          <w:rFonts w:hint="eastAsia" w:ascii="仿宋_GB2312" w:hAnsi="仿宋_GB2312" w:eastAsia="仿宋_GB2312"/>
          <w:sz w:val="32"/>
          <w:szCs w:val="32"/>
        </w:rPr>
      </w:pPr>
    </w:p>
    <w:tbl>
      <w:tblPr>
        <w:tblStyle w:val="12"/>
        <w:tblW w:w="9200" w:type="dxa"/>
        <w:tblInd w:w="93" w:type="dxa"/>
        <w:tblLayout w:type="autofit"/>
        <w:tblCellMar>
          <w:top w:w="0" w:type="dxa"/>
          <w:left w:w="108" w:type="dxa"/>
          <w:bottom w:w="0" w:type="dxa"/>
          <w:right w:w="108" w:type="dxa"/>
        </w:tblCellMar>
      </w:tblPr>
      <w:tblGrid>
        <w:gridCol w:w="740"/>
        <w:gridCol w:w="740"/>
        <w:gridCol w:w="1480"/>
        <w:gridCol w:w="2640"/>
        <w:gridCol w:w="1200"/>
        <w:gridCol w:w="1200"/>
        <w:gridCol w:w="1200"/>
      </w:tblGrid>
      <w:tr>
        <w:tblPrEx>
          <w:tblCellMar>
            <w:top w:w="0" w:type="dxa"/>
            <w:left w:w="108" w:type="dxa"/>
            <w:bottom w:w="0" w:type="dxa"/>
            <w:right w:w="108" w:type="dxa"/>
          </w:tblCellMar>
        </w:tblPrEx>
        <w:trPr>
          <w:trHeight w:val="6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项目支出绩效目标完成情况表</w:t>
            </w:r>
          </w:p>
        </w:tc>
      </w:tr>
      <w:tr>
        <w:tblPrEx>
          <w:tblCellMar>
            <w:top w:w="0" w:type="dxa"/>
            <w:left w:w="108" w:type="dxa"/>
            <w:bottom w:w="0" w:type="dxa"/>
            <w:right w:w="108" w:type="dxa"/>
          </w:tblCellMar>
        </w:tblPrEx>
        <w:trPr>
          <w:trHeight w:val="3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r>
              <w:rPr>
                <w:kern w:val="0"/>
                <w:sz w:val="24"/>
                <w:szCs w:val="24"/>
              </w:rPr>
              <w:t xml:space="preserve"> 2018</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64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6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教师专业及财务管理培训专项资金</w:t>
            </w: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预算单位</w:t>
            </w:r>
          </w:p>
        </w:tc>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广汉市教育局(本级)</w:t>
            </w:r>
          </w:p>
        </w:tc>
      </w:tr>
      <w:tr>
        <w:tblPrEx>
          <w:tblCellMar>
            <w:top w:w="0" w:type="dxa"/>
            <w:left w:w="108" w:type="dxa"/>
            <w:bottom w:w="0" w:type="dxa"/>
            <w:right w:w="108" w:type="dxa"/>
          </w:tblCellMar>
        </w:tblPrEx>
        <w:trPr>
          <w:trHeight w:val="439" w:hRule="atLeast"/>
        </w:trPr>
        <w:tc>
          <w:tcPr>
            <w:tcW w:w="2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年度资金总额：105万元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其中：财政拨款105万元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8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年度目标</w:t>
            </w:r>
          </w:p>
        </w:tc>
      </w:tr>
      <w:tr>
        <w:tblPrEx>
          <w:tblCellMar>
            <w:top w:w="0" w:type="dxa"/>
            <w:left w:w="108" w:type="dxa"/>
            <w:bottom w:w="0" w:type="dxa"/>
            <w:right w:w="108" w:type="dxa"/>
          </w:tblCellMar>
        </w:tblPrEx>
        <w:trPr>
          <w:trHeight w:val="10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460"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2"/>
                <w:szCs w:val="22"/>
              </w:rPr>
            </w:pPr>
            <w:r>
              <w:rPr>
                <w:rFonts w:hint="eastAsia" w:ascii="宋体" w:hAnsi="宋体" w:cs="宋体"/>
                <w:kern w:val="0"/>
                <w:sz w:val="22"/>
                <w:szCs w:val="22"/>
              </w:rPr>
              <w:t>根据我市教育教学需要，开展33类培训项目，涉及各学科、各学段教师1722人次。通过集中面授、分组培训的方式更新教师教育教学理念、培养教师专业能力，计划开展33次集中培训、66次分组研讨培训。</w:t>
            </w:r>
          </w:p>
        </w:tc>
      </w:tr>
      <w:tr>
        <w:tblPrEx>
          <w:tblCellMar>
            <w:top w:w="0" w:type="dxa"/>
            <w:left w:w="108" w:type="dxa"/>
            <w:bottom w:w="0" w:type="dxa"/>
            <w:right w:w="108" w:type="dxa"/>
          </w:tblCellMar>
        </w:tblPrEx>
        <w:trPr>
          <w:trHeight w:val="94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绩</w:t>
            </w:r>
            <w:r>
              <w:rPr>
                <w:rFonts w:hint="eastAsia" w:ascii="宋体" w:hAnsi="宋体" w:cs="宋体"/>
                <w:kern w:val="0"/>
                <w:sz w:val="22"/>
                <w:szCs w:val="22"/>
              </w:rPr>
              <w:br w:type="textWrapping"/>
            </w:r>
            <w:r>
              <w:rPr>
                <w:rFonts w:hint="eastAsia" w:ascii="宋体" w:hAnsi="宋体" w:cs="宋体"/>
                <w:kern w:val="0"/>
                <w:sz w:val="22"/>
                <w:szCs w:val="22"/>
              </w:rPr>
              <w:t>效</w:t>
            </w:r>
            <w:r>
              <w:rPr>
                <w:rFonts w:hint="eastAsia" w:ascii="宋体" w:hAnsi="宋体" w:cs="宋体"/>
                <w:kern w:val="0"/>
                <w:sz w:val="22"/>
                <w:szCs w:val="22"/>
              </w:rPr>
              <w:br w:type="textWrapping"/>
            </w:r>
            <w:r>
              <w:rPr>
                <w:rFonts w:hint="eastAsia" w:ascii="宋体" w:hAnsi="宋体" w:cs="宋体"/>
                <w:kern w:val="0"/>
                <w:sz w:val="22"/>
                <w:szCs w:val="22"/>
              </w:rPr>
              <w:t>指</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一级</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指标值（包含数字及文字描述）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项目完成</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校长论坛暨校长集中培训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54人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小学数学骨干教师培训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专兼职教研员培训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35人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音乐教师专项技能（合唱指挥）培训班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40人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小学语文教研组长培训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小学数学教研组长培训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农村幼教管理干部能力提升培训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新教师培训班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156人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教师心理健康培训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108人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班主任培训班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108人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骨干教师成长培训班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课堂观察小组研讨及教学管理干部培训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教育后备干部培训班培训（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100人</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初中思品教师课堂观察技术培训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30人</w:t>
            </w:r>
          </w:p>
        </w:tc>
      </w:tr>
      <w:tr>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初中物理教师基于课堂标准的教学培训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初中数学教师基于课堂标准的教学培训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教育高端后备人才培训班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50人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教育科研骨干教师培训班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108人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基于课程标准的课程纲要和教学设计培训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108人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“国培计划”培训者培训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美术书法教师专项技能培训班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40人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副校（园）级干部培训班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54人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特级教师后备人员培训班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40人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德阳市学科带头人后备人员培训班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50人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教学管理干部培训班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54人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初中英语骨干教师培训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50人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初中语文骨干教师培训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50人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校园足球裁判教练员培训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22人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培训质量管理“校园培训师”培训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53人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小学数学青年教师专业能力提升培训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50人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小学语文教师传统文化素养提升培训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继续教育管理员培训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50人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校本培训及校园常规视导交通及伙食补助</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32人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参培人员合格率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&gt;80%</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完成时间</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2018年12月</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广汉市内培训活动</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市内交通费30元/人，伙食补助60元/人。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广汉市外，四川省内培训活动</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市内交通费40元/人，伙食补助100元/人。市内交通费、伙食补助和住宿费一人一天不超过400元。</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四川省外培训活动</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市内交通费70元/人，伙食补助100元/人。市内交通费、伙食补助和住宿费一人一天不超过400元。</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外聘专家培训费</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广汉市内，不高于600元；德阳市内，不高于1000元；知名专家根据《广汉市校园培训管理》办法进行核定，不高于4000元。</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培训场地租赁、饮用水和耗材</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根据厉行节约的要求，不高于市场平均水平。</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提升教师队伍素质，做社会满意教师，办人民满意教育。</w:t>
            </w:r>
          </w:p>
        </w:tc>
        <w:tc>
          <w:tcPr>
            <w:tcW w:w="3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从师德师风、专业素养方面提升教师形象，在人民心目中树立名师形象；在各类人才选拔考试中，取得优秀成绩。</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可持续影响</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为广汉市教育教学服务，提供持续发展的动力</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按照“梯次发展，多次培训”的原则，打造优秀的校园管理团队和过硬的专业教师队伍，着眼于未来广汉教育的不断发展。</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参培教师满意度</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&gt;95%</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参培教师所在学校满意</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&gt;95%</w:t>
            </w:r>
          </w:p>
        </w:tc>
      </w:tr>
    </w:tbl>
    <w:p>
      <w:pPr>
        <w:spacing w:line="580" w:lineRule="exact"/>
        <w:rPr>
          <w:rFonts w:hint="eastAsia" w:ascii="仿宋_GB2312" w:hAnsi="仿宋_GB2312" w:eastAsia="仿宋_GB2312"/>
          <w:sz w:val="32"/>
          <w:szCs w:val="32"/>
        </w:rPr>
      </w:pPr>
    </w:p>
    <w:tbl>
      <w:tblPr>
        <w:tblStyle w:val="12"/>
        <w:tblW w:w="9200" w:type="dxa"/>
        <w:tblInd w:w="93" w:type="dxa"/>
        <w:tblLayout w:type="autofit"/>
        <w:tblCellMar>
          <w:top w:w="0" w:type="dxa"/>
          <w:left w:w="108" w:type="dxa"/>
          <w:bottom w:w="0" w:type="dxa"/>
          <w:right w:w="108" w:type="dxa"/>
        </w:tblCellMar>
      </w:tblPr>
      <w:tblGrid>
        <w:gridCol w:w="740"/>
        <w:gridCol w:w="740"/>
        <w:gridCol w:w="1480"/>
        <w:gridCol w:w="2640"/>
        <w:gridCol w:w="1200"/>
        <w:gridCol w:w="1200"/>
        <w:gridCol w:w="1200"/>
      </w:tblGrid>
      <w:tr>
        <w:tblPrEx>
          <w:tblCellMar>
            <w:top w:w="0" w:type="dxa"/>
            <w:left w:w="108" w:type="dxa"/>
            <w:bottom w:w="0" w:type="dxa"/>
            <w:right w:w="108" w:type="dxa"/>
          </w:tblCellMar>
        </w:tblPrEx>
        <w:trPr>
          <w:trHeight w:val="6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项目支出绩效目标完成情况表</w:t>
            </w:r>
          </w:p>
        </w:tc>
      </w:tr>
      <w:tr>
        <w:tblPrEx>
          <w:tblCellMar>
            <w:top w:w="0" w:type="dxa"/>
            <w:left w:w="108" w:type="dxa"/>
            <w:bottom w:w="0" w:type="dxa"/>
            <w:right w:w="108" w:type="dxa"/>
          </w:tblCellMar>
        </w:tblPrEx>
        <w:trPr>
          <w:trHeight w:val="3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r>
              <w:rPr>
                <w:kern w:val="0"/>
                <w:sz w:val="24"/>
                <w:szCs w:val="24"/>
              </w:rPr>
              <w:t xml:space="preserve"> 2018</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64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6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校方责任险</w:t>
            </w: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预算单位</w:t>
            </w:r>
          </w:p>
        </w:tc>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广汉市教育局(本级)</w:t>
            </w:r>
          </w:p>
        </w:tc>
      </w:tr>
      <w:tr>
        <w:tblPrEx>
          <w:tblCellMar>
            <w:top w:w="0" w:type="dxa"/>
            <w:left w:w="108" w:type="dxa"/>
            <w:bottom w:w="0" w:type="dxa"/>
            <w:right w:w="108" w:type="dxa"/>
          </w:tblCellMar>
        </w:tblPrEx>
        <w:trPr>
          <w:trHeight w:val="439" w:hRule="atLeast"/>
        </w:trPr>
        <w:tc>
          <w:tcPr>
            <w:tcW w:w="2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年度资金总额：45万元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其中：财政拨款45万元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8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年度目标</w:t>
            </w:r>
          </w:p>
        </w:tc>
      </w:tr>
      <w:tr>
        <w:tblPrEx>
          <w:tblCellMar>
            <w:top w:w="0" w:type="dxa"/>
            <w:left w:w="108" w:type="dxa"/>
            <w:bottom w:w="0" w:type="dxa"/>
            <w:right w:w="108" w:type="dxa"/>
          </w:tblCellMar>
        </w:tblPrEx>
        <w:trPr>
          <w:trHeight w:val="10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460"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2"/>
                <w:szCs w:val="22"/>
              </w:rPr>
            </w:pPr>
            <w:r>
              <w:rPr>
                <w:rFonts w:hint="eastAsia" w:ascii="宋体" w:hAnsi="宋体" w:cs="宋体"/>
                <w:kern w:val="0"/>
                <w:sz w:val="22"/>
                <w:szCs w:val="22"/>
              </w:rPr>
              <w:t>认真贯彻执行国家关于校方责任保险的法规政策和省教育厅、省财政厅、四川保监局相关文件要求，按照省教育厅的统一部署，加强领导，精心组织，专人负责，职责明确，切实做好校方责任保险工作。确保全市所有学校全面实现应保尽保、足额投保。要充分利用建立校方责任保险保障制度的契机，进一步加强学校的安全防范和风险管理工作，推进我市学校安全风险防控体系建设。</w:t>
            </w:r>
          </w:p>
        </w:tc>
      </w:tr>
      <w:tr>
        <w:tblPrEx>
          <w:tblCellMar>
            <w:top w:w="0" w:type="dxa"/>
            <w:left w:w="108" w:type="dxa"/>
            <w:bottom w:w="0" w:type="dxa"/>
            <w:right w:w="108" w:type="dxa"/>
          </w:tblCellMar>
        </w:tblPrEx>
        <w:trPr>
          <w:trHeight w:val="94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绩</w:t>
            </w:r>
            <w:r>
              <w:rPr>
                <w:rFonts w:hint="eastAsia" w:ascii="宋体" w:hAnsi="宋体" w:cs="宋体"/>
                <w:kern w:val="0"/>
                <w:sz w:val="22"/>
                <w:szCs w:val="22"/>
              </w:rPr>
              <w:br w:type="textWrapping"/>
            </w:r>
            <w:r>
              <w:rPr>
                <w:rFonts w:hint="eastAsia" w:ascii="宋体" w:hAnsi="宋体" w:cs="宋体"/>
                <w:kern w:val="0"/>
                <w:sz w:val="22"/>
                <w:szCs w:val="22"/>
              </w:rPr>
              <w:t>效</w:t>
            </w:r>
            <w:r>
              <w:rPr>
                <w:rFonts w:hint="eastAsia" w:ascii="宋体" w:hAnsi="宋体" w:cs="宋体"/>
                <w:kern w:val="0"/>
                <w:sz w:val="22"/>
                <w:szCs w:val="22"/>
              </w:rPr>
              <w:br w:type="textWrapping"/>
            </w:r>
            <w:r>
              <w:rPr>
                <w:rFonts w:hint="eastAsia" w:ascii="宋体" w:hAnsi="宋体" w:cs="宋体"/>
                <w:kern w:val="0"/>
                <w:sz w:val="22"/>
                <w:szCs w:val="22"/>
              </w:rPr>
              <w:t>指</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一级</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指标值（包含数字及文字描述）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项目完成</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完成所有公办学校学生参保</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2017-2018学年度（2017年9月1日至2018年8月31日）公办学校在校生人数为52183人，2018-2019学年度（2018年9月1日至2019年8月31日）公办学校在校生人数预计为51000人至54000人左右。</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公办学校学生参保率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完成全部公办学校学生参保时间</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2018年10月前</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公办学校学生参加校方责任险</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5元/人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公办学校学生参加校方责任险无过失责任保险</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3元/人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加强学校的安全防范和风险管理工作，推进我市学校安全风险防控体系建设。</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由政府购买校方责任险，实现全市所有公办学校全面实现应保尽保、足额投保，维护社会稳定。</w:t>
            </w:r>
          </w:p>
        </w:tc>
      </w:tr>
      <w:tr>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可持续影响</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该项目安排持续时间</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1年</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社会、家长满意度</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学校满意度</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bl>
    <w:p>
      <w:pPr>
        <w:spacing w:line="580" w:lineRule="exact"/>
        <w:rPr>
          <w:rFonts w:hint="eastAsia" w:ascii="仿宋_GB2312" w:hAnsi="仿宋_GB2312" w:eastAsia="仿宋_GB2312"/>
          <w:sz w:val="32"/>
          <w:szCs w:val="32"/>
        </w:rPr>
      </w:pPr>
    </w:p>
    <w:tbl>
      <w:tblPr>
        <w:tblStyle w:val="12"/>
        <w:tblW w:w="9200" w:type="dxa"/>
        <w:tblInd w:w="93" w:type="dxa"/>
        <w:tblLayout w:type="autofit"/>
        <w:tblCellMar>
          <w:top w:w="0" w:type="dxa"/>
          <w:left w:w="108" w:type="dxa"/>
          <w:bottom w:w="0" w:type="dxa"/>
          <w:right w:w="108" w:type="dxa"/>
        </w:tblCellMar>
      </w:tblPr>
      <w:tblGrid>
        <w:gridCol w:w="740"/>
        <w:gridCol w:w="740"/>
        <w:gridCol w:w="1480"/>
        <w:gridCol w:w="2640"/>
        <w:gridCol w:w="1200"/>
        <w:gridCol w:w="1200"/>
        <w:gridCol w:w="1200"/>
      </w:tblGrid>
      <w:tr>
        <w:tblPrEx>
          <w:tblCellMar>
            <w:top w:w="0" w:type="dxa"/>
            <w:left w:w="108" w:type="dxa"/>
            <w:bottom w:w="0" w:type="dxa"/>
            <w:right w:w="108" w:type="dxa"/>
          </w:tblCellMar>
        </w:tblPrEx>
        <w:trPr>
          <w:trHeight w:val="6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项目支出绩效目标完成情况表</w:t>
            </w:r>
          </w:p>
        </w:tc>
      </w:tr>
      <w:tr>
        <w:tblPrEx>
          <w:tblCellMar>
            <w:top w:w="0" w:type="dxa"/>
            <w:left w:w="108" w:type="dxa"/>
            <w:bottom w:w="0" w:type="dxa"/>
            <w:right w:w="108" w:type="dxa"/>
          </w:tblCellMar>
        </w:tblPrEx>
        <w:trPr>
          <w:trHeight w:val="3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r>
              <w:rPr>
                <w:kern w:val="0"/>
                <w:sz w:val="24"/>
                <w:szCs w:val="24"/>
              </w:rPr>
              <w:t xml:space="preserve"> 2018</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64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6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干部人事档案设备</w:t>
            </w: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预算单位</w:t>
            </w:r>
          </w:p>
        </w:tc>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广汉市教育局(本级)</w:t>
            </w:r>
          </w:p>
        </w:tc>
      </w:tr>
      <w:tr>
        <w:tblPrEx>
          <w:tblCellMar>
            <w:top w:w="0" w:type="dxa"/>
            <w:left w:w="108" w:type="dxa"/>
            <w:bottom w:w="0" w:type="dxa"/>
            <w:right w:w="108" w:type="dxa"/>
          </w:tblCellMar>
        </w:tblPrEx>
        <w:trPr>
          <w:trHeight w:val="439" w:hRule="atLeast"/>
        </w:trPr>
        <w:tc>
          <w:tcPr>
            <w:tcW w:w="2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年度资金总额：34万元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其中：财政拨款34万元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8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年度目标</w:t>
            </w:r>
          </w:p>
        </w:tc>
      </w:tr>
      <w:tr>
        <w:tblPrEx>
          <w:tblCellMar>
            <w:top w:w="0" w:type="dxa"/>
            <w:left w:w="108" w:type="dxa"/>
            <w:bottom w:w="0" w:type="dxa"/>
            <w:right w:w="108" w:type="dxa"/>
          </w:tblCellMar>
        </w:tblPrEx>
        <w:trPr>
          <w:trHeight w:val="10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46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根据中共德阳市委组织部和广汉市委组织部的安排，我市教育系统共计460余名中层以上干部档案数字化，要求2018年12月底前完成必要的基础硬件建设、管理软件配置，建立完善的干部人事档案数据库，并定期对数据库实施维护，保障人事档案数据库正常运行。</w:t>
            </w:r>
          </w:p>
        </w:tc>
      </w:tr>
      <w:tr>
        <w:tblPrEx>
          <w:tblCellMar>
            <w:top w:w="0" w:type="dxa"/>
            <w:left w:w="108" w:type="dxa"/>
            <w:bottom w:w="0" w:type="dxa"/>
            <w:right w:w="108" w:type="dxa"/>
          </w:tblCellMar>
        </w:tblPrEx>
        <w:trPr>
          <w:trHeight w:val="94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绩</w:t>
            </w:r>
            <w:r>
              <w:rPr>
                <w:rFonts w:hint="eastAsia" w:ascii="宋体" w:hAnsi="宋体" w:cs="宋体"/>
                <w:kern w:val="0"/>
                <w:sz w:val="22"/>
                <w:szCs w:val="22"/>
              </w:rPr>
              <w:br w:type="textWrapping"/>
            </w:r>
            <w:r>
              <w:rPr>
                <w:rFonts w:hint="eastAsia" w:ascii="宋体" w:hAnsi="宋体" w:cs="宋体"/>
                <w:kern w:val="0"/>
                <w:sz w:val="22"/>
                <w:szCs w:val="22"/>
              </w:rPr>
              <w:t>效</w:t>
            </w:r>
            <w:r>
              <w:rPr>
                <w:rFonts w:hint="eastAsia" w:ascii="宋体" w:hAnsi="宋体" w:cs="宋体"/>
                <w:kern w:val="0"/>
                <w:sz w:val="22"/>
                <w:szCs w:val="22"/>
              </w:rPr>
              <w:br w:type="textWrapping"/>
            </w:r>
            <w:r>
              <w:rPr>
                <w:rFonts w:hint="eastAsia" w:ascii="宋体" w:hAnsi="宋体" w:cs="宋体"/>
                <w:kern w:val="0"/>
                <w:sz w:val="22"/>
                <w:szCs w:val="22"/>
              </w:rPr>
              <w:t>指</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一级</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指标值（包含数字及文字描述）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项目完成</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数字化档案采集服务</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920卷</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干部档案管理信息系统软件及维护</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1套</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干部档案管理硬件建设</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射频实时监控回转柜2台、服务器、办公电脑、查询电脑、移动硬盘等</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案卷归档规范率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完成时间</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2018年12月31日前</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干部档案柜（射频实时监控回转柜2台）</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8万元（4万元/台）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浪潮服务器</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6.5万元（6.5万元/台）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虹光扫描仪</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2.5万元（2.5万元/台）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台式电脑</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0.8万元（0.4万元/台）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移动硬盘（希捷4T）</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0.14万元（0.14万元/台）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档案信息管理软件</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7万元（7万元/套）</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软件后期维护费</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1万元</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干部档案整理及数字化信息采集制作</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9.2万元（0.02万元/卷，共计920卷）</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对工作的促进作用</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规范整理案卷归档，有效保存工作资料，方便档案查询</w:t>
            </w:r>
          </w:p>
        </w:tc>
      </w:tr>
      <w:tr>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可持续影响</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档案使用年限</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≥30年</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档案管理部门满意度</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档案使用者满意度</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bl>
    <w:p>
      <w:pPr>
        <w:spacing w:line="580" w:lineRule="exact"/>
        <w:rPr>
          <w:rFonts w:hint="eastAsia" w:ascii="仿宋_GB2312" w:hAnsi="仿宋_GB2312" w:eastAsia="仿宋_GB2312"/>
          <w:sz w:val="32"/>
          <w:szCs w:val="32"/>
        </w:rPr>
      </w:pPr>
    </w:p>
    <w:tbl>
      <w:tblPr>
        <w:tblStyle w:val="12"/>
        <w:tblW w:w="9200" w:type="dxa"/>
        <w:tblInd w:w="93" w:type="dxa"/>
        <w:tblLayout w:type="autofit"/>
        <w:tblCellMar>
          <w:top w:w="0" w:type="dxa"/>
          <w:left w:w="108" w:type="dxa"/>
          <w:bottom w:w="0" w:type="dxa"/>
          <w:right w:w="108" w:type="dxa"/>
        </w:tblCellMar>
      </w:tblPr>
      <w:tblGrid>
        <w:gridCol w:w="740"/>
        <w:gridCol w:w="740"/>
        <w:gridCol w:w="1480"/>
        <w:gridCol w:w="2640"/>
        <w:gridCol w:w="1200"/>
        <w:gridCol w:w="1200"/>
        <w:gridCol w:w="1200"/>
      </w:tblGrid>
      <w:tr>
        <w:tblPrEx>
          <w:tblCellMar>
            <w:top w:w="0" w:type="dxa"/>
            <w:left w:w="108" w:type="dxa"/>
            <w:bottom w:w="0" w:type="dxa"/>
            <w:right w:w="108" w:type="dxa"/>
          </w:tblCellMar>
        </w:tblPrEx>
        <w:trPr>
          <w:trHeight w:val="6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项目支出绩效目标完成情况表</w:t>
            </w:r>
          </w:p>
        </w:tc>
      </w:tr>
      <w:tr>
        <w:tblPrEx>
          <w:tblCellMar>
            <w:top w:w="0" w:type="dxa"/>
            <w:left w:w="108" w:type="dxa"/>
            <w:bottom w:w="0" w:type="dxa"/>
            <w:right w:w="108" w:type="dxa"/>
          </w:tblCellMar>
        </w:tblPrEx>
        <w:trPr>
          <w:trHeight w:val="375" w:hRule="atLeast"/>
        </w:trPr>
        <w:tc>
          <w:tcPr>
            <w:tcW w:w="9200" w:type="dxa"/>
            <w:gridSpan w:val="7"/>
            <w:tcBorders>
              <w:top w:val="nil"/>
              <w:left w:val="nil"/>
              <w:bottom w:val="nil"/>
              <w:right w:val="nil"/>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r>
              <w:rPr>
                <w:kern w:val="0"/>
                <w:sz w:val="24"/>
                <w:szCs w:val="24"/>
              </w:rPr>
              <w:t xml:space="preserve"> 2018</w:t>
            </w:r>
            <w:r>
              <w:rPr>
                <w:rFonts w:hint="eastAsia" w:ascii="宋体" w:hAnsi="宋体" w:cs="宋体"/>
                <w:kern w:val="0"/>
                <w:sz w:val="24"/>
                <w:szCs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64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1200"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6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三星堆乡土教材印刷费</w:t>
            </w: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预算单位</w:t>
            </w:r>
          </w:p>
        </w:tc>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广汉市教育局(本级)</w:t>
            </w:r>
          </w:p>
        </w:tc>
      </w:tr>
      <w:tr>
        <w:tblPrEx>
          <w:tblCellMar>
            <w:top w:w="0" w:type="dxa"/>
            <w:left w:w="108" w:type="dxa"/>
            <w:bottom w:w="0" w:type="dxa"/>
            <w:right w:w="108" w:type="dxa"/>
          </w:tblCellMar>
        </w:tblPrEx>
        <w:trPr>
          <w:trHeight w:val="439" w:hRule="atLeast"/>
        </w:trPr>
        <w:tc>
          <w:tcPr>
            <w:tcW w:w="2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项目资金</w:t>
            </w:r>
            <w:r>
              <w:rPr>
                <w:rFonts w:hint="eastAsia" w:ascii="宋体" w:hAnsi="宋体" w:cs="宋体"/>
                <w:kern w:val="0"/>
                <w:sz w:val="22"/>
                <w:szCs w:val="22"/>
              </w:rPr>
              <w:br w:type="textWrapping"/>
            </w:r>
            <w:r>
              <w:rPr>
                <w:rFonts w:hint="eastAsia" w:ascii="宋体" w:hAnsi="宋体" w:cs="宋体"/>
                <w:kern w:val="0"/>
                <w:sz w:val="22"/>
                <w:szCs w:val="22"/>
              </w:rPr>
              <w:t>（万元）</w:t>
            </w: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年度资金总额：20万元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其中：财政拨款20万元</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其他资金</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总</w:t>
            </w:r>
            <w:r>
              <w:rPr>
                <w:rFonts w:hint="eastAsia" w:ascii="宋体" w:hAnsi="宋体" w:cs="宋体"/>
                <w:kern w:val="0"/>
                <w:sz w:val="22"/>
                <w:szCs w:val="22"/>
              </w:rPr>
              <w:br w:type="textWrapping"/>
            </w:r>
            <w:r>
              <w:rPr>
                <w:rFonts w:hint="eastAsia" w:ascii="宋体" w:hAnsi="宋体" w:cs="宋体"/>
                <w:kern w:val="0"/>
                <w:sz w:val="22"/>
                <w:szCs w:val="22"/>
              </w:rPr>
              <w:t>体</w:t>
            </w:r>
            <w:r>
              <w:rPr>
                <w:rFonts w:hint="eastAsia" w:ascii="宋体" w:hAnsi="宋体" w:cs="宋体"/>
                <w:kern w:val="0"/>
                <w:sz w:val="22"/>
                <w:szCs w:val="22"/>
              </w:rPr>
              <w:br w:type="textWrapping"/>
            </w:r>
            <w:r>
              <w:rPr>
                <w:rFonts w:hint="eastAsia" w:ascii="宋体" w:hAnsi="宋体" w:cs="宋体"/>
                <w:kern w:val="0"/>
                <w:sz w:val="22"/>
                <w:szCs w:val="22"/>
              </w:rPr>
              <w:t>目</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84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年度目标</w:t>
            </w:r>
          </w:p>
        </w:tc>
      </w:tr>
      <w:tr>
        <w:tblPrEx>
          <w:tblCellMar>
            <w:top w:w="0" w:type="dxa"/>
            <w:left w:w="108" w:type="dxa"/>
            <w:bottom w:w="0" w:type="dxa"/>
            <w:right w:w="108" w:type="dxa"/>
          </w:tblCellMar>
        </w:tblPrEx>
        <w:trPr>
          <w:trHeight w:val="10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460" w:type="dxa"/>
            <w:gridSpan w:val="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kern w:val="0"/>
                <w:sz w:val="22"/>
                <w:szCs w:val="22"/>
              </w:rPr>
            </w:pPr>
            <w:r>
              <w:rPr>
                <w:rFonts w:hint="eastAsia" w:ascii="宋体" w:hAnsi="宋体" w:cs="宋体"/>
                <w:kern w:val="0"/>
                <w:sz w:val="22"/>
                <w:szCs w:val="22"/>
              </w:rPr>
              <w:t>实施三星堆乡土教材采购并投入使用，使学生了解本地人文历史，培训学生热爱家乡的感情。</w:t>
            </w:r>
          </w:p>
        </w:tc>
      </w:tr>
      <w:tr>
        <w:tblPrEx>
          <w:tblCellMar>
            <w:top w:w="0" w:type="dxa"/>
            <w:left w:w="108" w:type="dxa"/>
            <w:bottom w:w="0" w:type="dxa"/>
            <w:right w:w="108" w:type="dxa"/>
          </w:tblCellMar>
        </w:tblPrEx>
        <w:trPr>
          <w:trHeight w:val="94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绩</w:t>
            </w:r>
            <w:r>
              <w:rPr>
                <w:rFonts w:hint="eastAsia" w:ascii="宋体" w:hAnsi="宋体" w:cs="宋体"/>
                <w:kern w:val="0"/>
                <w:sz w:val="22"/>
                <w:szCs w:val="22"/>
              </w:rPr>
              <w:br w:type="textWrapping"/>
            </w:r>
            <w:r>
              <w:rPr>
                <w:rFonts w:hint="eastAsia" w:ascii="宋体" w:hAnsi="宋体" w:cs="宋体"/>
                <w:kern w:val="0"/>
                <w:sz w:val="22"/>
                <w:szCs w:val="22"/>
              </w:rPr>
              <w:t>效</w:t>
            </w:r>
            <w:r>
              <w:rPr>
                <w:rFonts w:hint="eastAsia" w:ascii="宋体" w:hAnsi="宋体" w:cs="宋体"/>
                <w:kern w:val="0"/>
                <w:sz w:val="22"/>
                <w:szCs w:val="22"/>
              </w:rPr>
              <w:br w:type="textWrapping"/>
            </w:r>
            <w:r>
              <w:rPr>
                <w:rFonts w:hint="eastAsia" w:ascii="宋体" w:hAnsi="宋体" w:cs="宋体"/>
                <w:kern w:val="0"/>
                <w:sz w:val="22"/>
                <w:szCs w:val="22"/>
              </w:rPr>
              <w:t>指</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一级</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二级指标</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三级指标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指标值（包含数字及文字描述）</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项目完成</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三星堆乡土教材印刷采购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2万册</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质量指标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教材合格率</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≥100%</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完成时间</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2018年12月31日前</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三星堆乡土教材印刷采购</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20万元</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社会效益</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宣传广汉</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培训学生热爱家乡的情感</w:t>
            </w:r>
          </w:p>
        </w:tc>
      </w:tr>
      <w:tr>
        <w:tblPrEx>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可持续影响</w:t>
            </w:r>
            <w:r>
              <w:rPr>
                <w:rFonts w:hint="eastAsia" w:ascii="宋体" w:hAnsi="宋体" w:cs="宋体"/>
                <w:kern w:val="0"/>
                <w:sz w:val="22"/>
                <w:szCs w:val="22"/>
              </w:rPr>
              <w:br w:type="textWrapping"/>
            </w:r>
            <w:r>
              <w:rPr>
                <w:rFonts w:hint="eastAsia" w:ascii="宋体" w:hAnsi="宋体" w:cs="宋体"/>
                <w:kern w:val="0"/>
                <w:sz w:val="22"/>
                <w:szCs w:val="22"/>
              </w:rPr>
              <w:t>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采购教材使用时间</w:t>
            </w:r>
          </w:p>
        </w:tc>
        <w:tc>
          <w:tcPr>
            <w:tcW w:w="36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1年</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教育管理部门满意</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≥95%</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学校、教师满意</w:t>
            </w:r>
          </w:p>
        </w:tc>
        <w:tc>
          <w:tcPr>
            <w:tcW w:w="36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≥95%</w:t>
            </w:r>
          </w:p>
        </w:tc>
      </w:tr>
    </w:tbl>
    <w:p>
      <w:pPr>
        <w:spacing w:line="580" w:lineRule="exact"/>
        <w:rPr>
          <w:rFonts w:ascii="仿宋_GB2312" w:hAnsi="仿宋_GB2312" w:eastAsia="仿宋_GB2312"/>
          <w:sz w:val="32"/>
          <w:szCs w:val="32"/>
        </w:rPr>
      </w:pPr>
    </w:p>
    <w:p>
      <w:pPr>
        <w:numPr>
          <w:ilvl w:val="0"/>
          <w:numId w:val="5"/>
        </w:numPr>
        <w:spacing w:line="580" w:lineRule="exact"/>
        <w:ind w:firstLine="643" w:firstLineChars="200"/>
        <w:rPr>
          <w:rFonts w:ascii="仿宋" w:hAnsi="仿宋" w:eastAsia="仿宋"/>
          <w:sz w:val="32"/>
          <w:szCs w:val="32"/>
        </w:rPr>
      </w:pPr>
      <w:r>
        <w:rPr>
          <w:rFonts w:hint="eastAsia" w:ascii="仿宋" w:hAnsi="仿宋" w:eastAsia="仿宋" w:cs="仿宋"/>
          <w:b/>
          <w:bCs/>
          <w:sz w:val="32"/>
          <w:szCs w:val="32"/>
        </w:rPr>
        <w:t>部门开展绩效评价结果。</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年部门整体支出绩效评价情况开展自评，《教育部门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本部门自行组织对保安经费项目、教师节会务、慰问及教育教学成果考核奖（含中考奖、高考奖）等项目开展了绩效评价，《保安经费项目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年绩效评价报告》等见附件。（非涉密部门均需公开部门整体支出评价报告，部门自行组织的绩效评价情况根据部门实际公开）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sz w:val="44"/>
          <w:szCs w:val="44"/>
        </w:rPr>
      </w:pPr>
    </w:p>
    <w:p>
      <w:pPr>
        <w:spacing w:line="600" w:lineRule="exact"/>
        <w:ind w:firstLine="800" w:firstLineChars="250"/>
        <w:outlineLvl w:val="1"/>
        <w:rPr>
          <w:rStyle w:val="17"/>
          <w:rFonts w:ascii="黑体" w:hAnsi="黑体" w:eastAsia="黑体" w:cs="Times New Roman"/>
        </w:rPr>
      </w:pPr>
      <w:bookmarkStart w:id="50" w:name="_Toc15377221"/>
      <w:bookmarkStart w:id="51" w:name="_Toc15396612"/>
      <w:r>
        <w:rPr>
          <w:rFonts w:hint="eastAsia" w:ascii="黑体" w:hAnsi="黑体" w:eastAsia="黑体" w:cs="黑体"/>
          <w:color w:val="000000"/>
          <w:sz w:val="32"/>
          <w:szCs w:val="32"/>
        </w:rPr>
        <w:t>十</w:t>
      </w:r>
      <w:r>
        <w:rPr>
          <w:rStyle w:val="17"/>
          <w:rFonts w:hint="eastAsia" w:ascii="黑体" w:hAnsi="黑体" w:eastAsia="黑体" w:cs="黑体"/>
        </w:rPr>
        <w:t>一、</w:t>
      </w:r>
      <w:r>
        <w:rPr>
          <w:rStyle w:val="17"/>
          <w:rFonts w:hint="eastAsia" w:ascii="黑体" w:hAnsi="黑体" w:eastAsia="黑体" w:cs="黑体"/>
          <w:b w:val="0"/>
          <w:bCs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cs="仿宋"/>
          <w:b/>
          <w:bCs/>
          <w:color w:val="000000"/>
          <w:sz w:val="32"/>
          <w:szCs w:val="32"/>
        </w:rPr>
        <w:t>（一）机关运行经费支出情况</w:t>
      </w:r>
      <w:bookmarkEnd w:id="52"/>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年，教育局机关运行经费支出607.87万元，比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年增加68.33 万元，增长12.66</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。主要原因是工作人员正常增资、物价水平增加等因素。</w:t>
      </w: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CS05</w:t>
      </w:r>
      <w:r>
        <w:rPr>
          <w:rFonts w:hint="eastAsia" w:ascii="仿宋" w:hAnsi="仿宋" w:eastAsia="仿宋" w:cs="仿宋"/>
          <w:b/>
          <w:bCs/>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3" w:name="_Toc15377223"/>
      <w:r>
        <w:rPr>
          <w:rFonts w:hint="eastAsia" w:ascii="仿宋" w:hAnsi="仿宋" w:eastAsia="仿宋" w:cs="仿宋"/>
          <w:b/>
          <w:bCs/>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年，实施政府采购支出总额</w:t>
      </w:r>
      <w:r>
        <w:rPr>
          <w:rFonts w:ascii="仿宋_GB2312" w:eastAsia="仿宋_GB2312" w:cs="仿宋_GB2312"/>
          <w:color w:val="000000"/>
          <w:sz w:val="32"/>
          <w:szCs w:val="32"/>
        </w:rPr>
        <w:t>335</w:t>
      </w: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5万元，其中：政府采购货物支出</w:t>
      </w:r>
      <w:r>
        <w:rPr>
          <w:rFonts w:ascii="仿宋_GB2312" w:eastAsia="仿宋_GB2312" w:cs="仿宋_GB2312"/>
          <w:color w:val="000000"/>
          <w:sz w:val="32"/>
          <w:szCs w:val="32"/>
        </w:rPr>
        <w:t>335</w:t>
      </w: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5万元，主要用于教育教学工作。授予中小企业合同金额</w:t>
      </w:r>
      <w:r>
        <w:rPr>
          <w:rFonts w:ascii="仿宋_GB2312" w:eastAsia="仿宋_GB2312" w:cs="仿宋_GB2312"/>
          <w:color w:val="000000"/>
          <w:sz w:val="32"/>
          <w:szCs w:val="32"/>
        </w:rPr>
        <w:t>335</w:t>
      </w: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5万元，占政府采购支出总额的100</w:t>
      </w:r>
      <w:r>
        <w:rPr>
          <w:rFonts w:ascii="仿宋_GB2312" w:eastAsia="仿宋_GB2312" w:cs="仿宋_GB2312"/>
          <w:color w:val="000000"/>
          <w:sz w:val="32"/>
          <w:szCs w:val="32"/>
        </w:rPr>
        <w:t>%</w:t>
      </w:r>
      <w:r>
        <w:rPr>
          <w:rFonts w:hint="eastAsia" w:ascii="仿宋_GB2312" w:eastAsia="仿宋_GB2312" w:cs="仿宋_GB2312"/>
          <w:color w:val="000000"/>
          <w:sz w:val="32"/>
          <w:szCs w:val="32"/>
        </w:rPr>
        <w:t>，其中：授予小微企业合同金额</w:t>
      </w:r>
      <w:r>
        <w:rPr>
          <w:rFonts w:ascii="仿宋_GB2312" w:eastAsia="仿宋_GB2312" w:cs="仿宋_GB2312"/>
          <w:color w:val="000000"/>
          <w:sz w:val="32"/>
          <w:szCs w:val="32"/>
        </w:rPr>
        <w:t>335</w:t>
      </w: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5万元，占政府采购支出总额的100</w:t>
      </w:r>
      <w:r>
        <w:rPr>
          <w:rFonts w:ascii="仿宋_GB2312" w:eastAsia="仿宋_GB2312" w:cs="仿宋_GB2312"/>
          <w:color w:val="000000"/>
          <w:sz w:val="32"/>
          <w:szCs w:val="32"/>
        </w:rPr>
        <w:t>%</w:t>
      </w:r>
      <w:r>
        <w:rPr>
          <w:rFonts w:hint="eastAsia" w:ascii="仿宋_GB2312" w:eastAsia="仿宋_GB2312" w:cs="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CS06</w:t>
      </w:r>
      <w:r>
        <w:rPr>
          <w:rFonts w:hint="eastAsia" w:ascii="仿宋" w:hAnsi="仿宋" w:eastAsia="仿宋" w:cs="仿宋"/>
          <w:b/>
          <w:bCs/>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4" w:name="_Toc15377224"/>
      <w:r>
        <w:rPr>
          <w:rFonts w:hint="eastAsia" w:ascii="仿宋" w:hAnsi="仿宋" w:eastAsia="仿宋" w:cs="仿宋"/>
          <w:b/>
          <w:bCs/>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日，全系统共有车辆11辆，其中：部级领导干部用车0辆、一般公务用车11辆、一般执法执勤用车0辆、特种专业技术用车0辆、其他用车0辆。单价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万元以上通用设备2台（套），单价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CS05</w:t>
      </w:r>
      <w:r>
        <w:rPr>
          <w:rFonts w:hint="eastAsia" w:ascii="仿宋" w:hAnsi="仿宋" w:eastAsia="仿宋" w:cs="仿宋"/>
          <w:b/>
          <w:bCs/>
          <w:color w:val="000000"/>
          <w:sz w:val="32"/>
          <w:szCs w:val="32"/>
        </w:rPr>
        <w:t>表，按部门决算报表填报数据罗列车辆情况。）</w:t>
      </w:r>
    </w:p>
    <w:p>
      <w:pPr>
        <w:spacing w:line="600" w:lineRule="atLeast"/>
        <w:ind w:firstLine="643" w:firstLineChars="200"/>
        <w:rPr>
          <w:rFonts w:ascii="仿宋_GB2312" w:eastAsia="仿宋_GB2312"/>
          <w:b/>
          <w:bCs/>
          <w:color w:val="000000"/>
          <w:sz w:val="32"/>
          <w:szCs w:val="32"/>
        </w:rPr>
      </w:pPr>
    </w:p>
    <w:p>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pPr>
        <w:numPr>
          <w:ilvl w:val="0"/>
          <w:numId w:val="7"/>
        </w:numPr>
        <w:spacing w:line="600" w:lineRule="exact"/>
        <w:ind w:firstLine="663" w:firstLineChars="150"/>
        <w:jc w:val="center"/>
        <w:outlineLvl w:val="0"/>
        <w:rPr>
          <w:rStyle w:val="16"/>
          <w:rFonts w:ascii="黑体" w:hAnsi="黑体" w:eastAsia="黑体"/>
          <w:b w:val="0"/>
          <w:bCs w:val="0"/>
        </w:rPr>
      </w:pPr>
      <w:bookmarkStart w:id="55" w:name="_Toc15377225"/>
      <w:bookmarkStart w:id="56" w:name="_Toc15396613"/>
      <w:r>
        <w:rPr>
          <w:rFonts w:hint="eastAsia" w:ascii="黑体" w:hAnsi="黑体" w:eastAsia="黑体" w:cs="黑体"/>
          <w:b/>
          <w:bCs/>
          <w:color w:val="000000"/>
          <w:sz w:val="44"/>
          <w:szCs w:val="44"/>
        </w:rPr>
        <w:t>名</w:t>
      </w:r>
      <w:r>
        <w:rPr>
          <w:rStyle w:val="16"/>
          <w:rFonts w:hint="eastAsia" w:ascii="黑体" w:hAnsi="黑体" w:eastAsia="黑体" w:cs="黑体"/>
          <w:b w:val="0"/>
          <w:bCs w:val="0"/>
        </w:rPr>
        <w:t>词解释</w:t>
      </w:r>
      <w:bookmarkEnd w:id="55"/>
      <w:bookmarkEnd w:id="56"/>
    </w:p>
    <w:p>
      <w:pPr>
        <w:spacing w:line="600" w:lineRule="exact"/>
        <w:jc w:val="left"/>
        <w:rPr>
          <w:rFonts w:ascii="宋体"/>
          <w:b/>
          <w:bCs/>
          <w:color w:val="000000"/>
          <w:sz w:val="44"/>
          <w:szCs w:val="44"/>
        </w:rPr>
      </w:pP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1.财政拨款收入：指单位从同级财政部门取得的财政预算资金。</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事业收入：指事业单位开展专业业务活动及辅助活动取得的收入。如考试考务费；幼儿园保教费；普通高中学费、住宿费；中等职业学校学费、住宿费；函大电大夜大及短期培训费（二级预算单位事业收入情况）等。</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3.经营收入：指事业单位在专业业务活动及其辅助活动之外开展非独立核算经营活动取得的收入。</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 xml:space="preserve">4.其他收入：指单位取得的除上述收入以外的各项收入。主要是利息收入、捐赠收入（收入类型）等。 </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 xml:space="preserve">6.年初结转和结余：指以前年度尚未完成、结转到本年按有关规定继续使用的资金。 </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7.结余分配：指事业单位按照事业单位会计制度的规定从非财政补助结余中分配的事业基金和职工福利基金等。</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8.年末结转和结余：指单位按有关规定结转到下年或以后年度继续使用的资金。</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9.行政运行(2050101):反映行政单位的基本支出。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10.学前教育(2050201):反映各部门举办的学前教育支出。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11.小学教育(2050202):反映各部门举办的小学教育支出。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12.初中教育(2050203):反映各部门举办的初中教育支出。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13.高中教育(2050204):反映各部门举办的高中教育支出。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14.高等教育(2050205):反映全日制普通高等学校支出。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15.其他普通教育支出(2050299):反映上述各类普通教育以外的支出。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16.中专教育(2050302):反映各部门举办的中专教育支出。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17.其他职业教育支出(2050399):反映各部门举办的其他职业教育支出。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18.成人初等教育(2050401):反映各部门举办的成人初等教育支出。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19.广播电视学校(2050501):反映各部门举办的广播电视学校支出。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20.特殊学校教育(2050701):反映各部门举办的各类残疾儿童教育支出。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21.农村中小学校舍建设(2050901):反映用于中小学校新建改扩建及维修工程支出。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22.中等职业学校教学设施(2050905):反映用于中等职业教育学校设施的支出。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23.其他教育费附加安排的支出(2050999):反映用其他教育附加及教育基金安排的支出。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24.其他教育支出(2059999):反映上述各类教育以外的支出。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25.事业单位离退休(2080502): 反映实行归口管理的事业单位单位开支的离退休经费。</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26.未归口管理的行政单位离退休(2080504): 反映未实施归口管理的行政单位开支的离退休费。</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27.机关事业单位基本养老保险缴费支出(2080505): 反映机关事业单位缴纳的基本养老保险支出。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28.机关事业单位职业年金缴费支出(2080506): 反映机关事业单位缴纳的职业年金支出。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20.行政单位医疗(2101101): 反映行政机关医疗支出。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29.行政单位医疗(2101101):反映行政机关医疗支出。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30.事业单位医疗（2101102）：反映事业单位缴纳的医疗保险支出。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31.公务员医疗补助(2101103): 反映财政部门安排的公务员医疗补助。</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32.其他医疗卫生与计划生育支出（2109901）：反映机关事业单位缴纳的生育保险支出。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33.住房公积金(2210201): 反映用于职工住房公积金支出。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34.用于教育事业的彩票公益金支出（2296004）：用于支持乡村学校少年宫项目的支出。</w:t>
      </w:r>
    </w:p>
    <w:p>
      <w:pPr>
        <w:spacing w:line="600" w:lineRule="exact"/>
        <w:ind w:firstLine="640"/>
        <w:rPr>
          <w:rFonts w:hint="eastAsia"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35.其他支出(2299901): 反映没有归类到上述各类中的支出。</w:t>
      </w: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（解释本部门决算报表中全部功能分类科目至项级，请参照《</w:t>
      </w:r>
      <w:r>
        <w:rPr>
          <w:rFonts w:ascii="仿宋" w:hAnsi="仿宋" w:eastAsia="仿宋" w:cs="仿宋"/>
          <w:b/>
          <w:bCs/>
          <w:color w:val="000000"/>
          <w:sz w:val="32"/>
          <w:szCs w:val="32"/>
        </w:rPr>
        <w:t>2018</w:t>
      </w:r>
      <w:r>
        <w:rPr>
          <w:rFonts w:hint="eastAsia" w:ascii="仿宋" w:hAnsi="仿宋" w:eastAsia="仿宋" w:cs="仿宋"/>
          <w:b/>
          <w:bCs/>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27.</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28.</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29.</w:t>
      </w:r>
      <w:r>
        <w:rPr>
          <w:rFonts w:hint="eastAsia" w:ascii="仿宋_GB2312" w:eastAsia="仿宋_GB2312" w:cs="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30.</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31.</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Times New Roman"/>
          <w:sz w:val="32"/>
          <w:szCs w:val="32"/>
        </w:rPr>
      </w:pPr>
    </w:p>
    <w:p>
      <w:pPr>
        <w:ind w:firstLine="643" w:firstLineChars="200"/>
        <w:rPr>
          <w:rFonts w:ascii="仿宋" w:hAnsi="仿宋" w:eastAsia="仿宋"/>
          <w:b/>
          <w:bCs/>
          <w:color w:val="000000"/>
          <w:sz w:val="32"/>
          <w:szCs w:val="32"/>
        </w:rPr>
      </w:pPr>
      <w:r>
        <w:rPr>
          <w:rFonts w:hint="eastAsia" w:ascii="仿宋" w:hAnsi="仿宋" w:eastAsia="仿宋" w:cs="仿宋"/>
          <w:b/>
          <w:bCs/>
          <w:color w:val="000000"/>
          <w:sz w:val="32"/>
          <w:szCs w:val="32"/>
        </w:rPr>
        <w:t>（名词解释部分请根据各部门实际列支情况罗列，并根据本部门职责职能增减名词解释内容。）</w:t>
      </w:r>
    </w:p>
    <w:p>
      <w:pPr>
        <w:spacing w:line="600" w:lineRule="exact"/>
        <w:jc w:val="center"/>
        <w:outlineLvl w:val="0"/>
        <w:rPr>
          <w:rStyle w:val="16"/>
          <w:rFonts w:ascii="黑体" w:hAnsi="黑体" w:eastAsia="黑体"/>
          <w:b w:val="0"/>
          <w:bCs w:val="0"/>
        </w:rPr>
      </w:pPr>
      <w:bookmarkStart w:id="57" w:name="_Toc15377226"/>
      <w:r>
        <w:rPr>
          <w:rFonts w:ascii="宋体"/>
          <w:b/>
          <w:bCs/>
          <w:color w:val="000000"/>
          <w:sz w:val="44"/>
          <w:szCs w:val="44"/>
        </w:rPr>
        <w:br w:type="page"/>
      </w:r>
      <w:bookmarkStart w:id="58" w:name="_Toc15396614"/>
      <w:r>
        <w:rPr>
          <w:rFonts w:hint="eastAsia" w:ascii="黑体" w:hAnsi="黑体" w:eastAsia="黑体" w:cs="黑体"/>
          <w:color w:val="000000"/>
          <w:sz w:val="44"/>
          <w:szCs w:val="44"/>
        </w:rPr>
        <w:t>第</w:t>
      </w:r>
      <w:r>
        <w:rPr>
          <w:rStyle w:val="16"/>
          <w:rFonts w:hint="eastAsia" w:ascii="黑体" w:hAnsi="黑体" w:eastAsia="黑体" w:cs="黑体"/>
          <w:b w:val="0"/>
          <w:bCs w:val="0"/>
        </w:rPr>
        <w:t>四部分</w:t>
      </w:r>
      <w:r>
        <w:rPr>
          <w:rStyle w:val="16"/>
          <w:rFonts w:ascii="黑体" w:hAnsi="黑体" w:eastAsia="黑体" w:cs="黑体"/>
          <w:b w:val="0"/>
          <w:bCs w:val="0"/>
        </w:rPr>
        <w:t xml:space="preserve"> </w:t>
      </w:r>
      <w:r>
        <w:rPr>
          <w:rStyle w:val="16"/>
          <w:rFonts w:hint="eastAsia" w:ascii="黑体" w:hAnsi="黑体" w:eastAsia="黑体" w:cs="黑体"/>
          <w:b w:val="0"/>
          <w:bCs w:val="0"/>
        </w:rPr>
        <w:t>附件</w:t>
      </w:r>
      <w:bookmarkEnd w:id="58"/>
    </w:p>
    <w:p>
      <w:pPr>
        <w:spacing w:line="600" w:lineRule="exact"/>
        <w:jc w:val="center"/>
        <w:outlineLvl w:val="0"/>
        <w:rPr>
          <w:rStyle w:val="16"/>
        </w:rPr>
      </w:pPr>
    </w:p>
    <w:p>
      <w:pPr>
        <w:pStyle w:val="3"/>
        <w:rPr>
          <w:rStyle w:val="16"/>
          <w:rFonts w:ascii="仿宋" w:hAnsi="仿宋" w:eastAsia="仿宋"/>
          <w:b w:val="0"/>
          <w:bCs w:val="0"/>
          <w:sz w:val="32"/>
          <w:szCs w:val="32"/>
        </w:rPr>
      </w:pPr>
      <w:bookmarkStart w:id="59" w:name="_Toc15396615"/>
      <w:r>
        <w:rPr>
          <w:rStyle w:val="16"/>
          <w:rFonts w:hint="eastAsia" w:ascii="仿宋" w:hAnsi="仿宋" w:eastAsia="仿宋" w:cs="仿宋"/>
          <w:b w:val="0"/>
          <w:bCs w:val="0"/>
          <w:sz w:val="32"/>
          <w:szCs w:val="32"/>
        </w:rPr>
        <w:t>附件</w:t>
      </w:r>
      <w:r>
        <w:rPr>
          <w:rStyle w:val="16"/>
          <w:rFonts w:ascii="仿宋" w:hAnsi="仿宋" w:eastAsia="仿宋" w:cs="仿宋"/>
          <w:b w:val="0"/>
          <w:bCs w:val="0"/>
          <w:sz w:val="32"/>
          <w:szCs w:val="32"/>
        </w:rPr>
        <w:t>1</w:t>
      </w:r>
      <w:bookmarkEnd w:id="59"/>
    </w:p>
    <w:p>
      <w:pPr>
        <w:spacing w:line="600" w:lineRule="exact"/>
        <w:jc w:val="center"/>
        <w:outlineLvl w:val="0"/>
        <w:rPr>
          <w:rFonts w:ascii="黑体" w:hAnsi="黑体" w:eastAsia="黑体"/>
          <w:sz w:val="36"/>
          <w:szCs w:val="36"/>
        </w:rPr>
      </w:pPr>
      <w:bookmarkStart w:id="60" w:name="_Toc15396616"/>
      <w:r>
        <w:rPr>
          <w:rFonts w:hint="eastAsia" w:ascii="黑体" w:hAnsi="黑体" w:eastAsia="黑体" w:cs="黑体"/>
          <w:sz w:val="36"/>
          <w:szCs w:val="36"/>
        </w:rPr>
        <w:t>教育部门</w:t>
      </w:r>
      <w:r>
        <w:rPr>
          <w:rFonts w:ascii="黑体" w:hAnsi="黑体" w:eastAsia="黑体" w:cs="黑体"/>
          <w:sz w:val="36"/>
          <w:szCs w:val="36"/>
        </w:rPr>
        <w:t>2018</w:t>
      </w:r>
      <w:r>
        <w:rPr>
          <w:rFonts w:hint="eastAsia" w:ascii="黑体" w:hAnsi="黑体" w:eastAsia="黑体" w:cs="黑体"/>
          <w:sz w:val="36"/>
          <w:szCs w:val="36"/>
        </w:rPr>
        <w:t>年部门整体支出绩效评价报告</w:t>
      </w:r>
      <w:bookmarkEnd w:id="60"/>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一、部门（单位）概况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（一）机构组成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度本部门下属公办校园及机关、事业单位共60个。其中：幼儿园5所，独立办小学20所，初中13所，九年一贯制学校10所，普通高中2所，高完中1所，特殊教育学校1所，中等职业学校1所，教育事业单位6个，教育局机关1个。</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（二）机构职能</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根据市委编办“三定”方案，我局主要职能是：</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1、指导各级各类学校全面贯彻教育方针，积极推进素质教育，规范学校办学行为，不断提高教学质量。</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2、制定全市教育改革与发展战略和全市教育事业发展规划；组织拟订加强基础教育，大力发展职业教育，全面实施素质教育，提高教学质量，促进教育公平的政策并贯彻实施。</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3、优化学校布局调整，努力解决教育资源不足问题，有效降低大班额比例，合理配置教育资源，促进区域内义务教育均衡发展。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协调相关部门掌握全市教育经费投入情况及教育经费的管理使用情况；做好义务教育经费保障机制有关工作，全面落实“两免一补”；做好教师工资及绩效工资的发放。会同财政、审计部门加强对学校教育经费的检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配合机构编制部门做好教职工编制动态调整及落实工作，按照省定编制及结构要求足额配备教师；指导各校做好教师职务评审、岗位管理、人员聘用、合同签订和培养培训等相关工作。按照公开招聘政策，做好中小学教师招聘工作，优化教师队伍结构，推进区域内教师均衡配置。加强师德师风建设，提高教师思想道德素质，加强学习领导班子和干部队伍建设，按照干部管理权限考核选聘干部。加强校长和教师培训，确保教师编制、学历、教师资格、职称结构等符合相关要求。</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指导学校建立健全学校管理制度，加强校园绿化、美化、亮化、净化、文化建设，树立良好“校风、教风、学风”，提高管理水平。会同公安、司法、工商等部门加强对校园及周边环境的治理，确保中小学不发生重大安全责任事故；会同财政、物价、纪检监察部门规范学校收费行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指导各乡镇政府和学校依法采取措施“控辍保学”，确保小学、初中的入学率、辍学率、完成率等各项普及指标达到国家和省上规定标准。会同有关部门落实国家和省市有关政策措施，抓好进城务工农民子女、留守儿童、残疾儿童和妇女童等弱势群体接受义务教育工作。配合统计部门摸清全市青壮年文盲基数。</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8、负责全市教育督导和评估工作。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9、负责全市大中专招生和自学考试工作。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10、承担市政府公布的有关行政审批事项。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11、承办市政府交办的其他事项。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（三）人员概况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度教育经费统计年报中教职工总数为3976人，专任教师3756人。其中：幼儿园教职工157人，专任教师148人；小学教职工1185人，专任教师1160人；初级中学教职工821人，专任教师794人；九年一贯制学校教职工977人，专任教师956人；普通高中教职工390人，专任教师362人；高完中教职工222人，专任教师213人；中等职业学校教职工125人，专任教师111人；特殊教育学校教职工12人，专任教师12人。</w:t>
      </w:r>
    </w:p>
    <w:p>
      <w:pPr>
        <w:spacing w:line="580" w:lineRule="exact"/>
        <w:ind w:firstLine="640" w:firstLineChars="200"/>
        <w:rPr>
          <w:rFonts w:ascii="黑体" w:hAnsi="黑体" w:eastAsia="黑体"/>
          <w:sz w:val="32"/>
          <w:szCs w:val="32"/>
        </w:rPr>
      </w:pPr>
      <w:r>
        <w:rPr>
          <w:rFonts w:hint="eastAsia" w:ascii="仿宋" w:hAnsi="仿宋" w:eastAsia="仿宋" w:cs="仿宋"/>
          <w:sz w:val="32"/>
          <w:szCs w:val="32"/>
        </w:rPr>
        <w:t>2018年度教育经费统计年报中在校学生数为52072人；其中：幼儿园在园6916人，小学在校学生26640人，初中在校学生10853人，高中在校学生6456人，中等职业学校在校生1139人，特殊教育学校在校生68人。</w:t>
      </w:r>
      <w:r>
        <w:rPr>
          <w:rFonts w:hint="eastAsia" w:ascii="黑体" w:hAnsi="黑体" w:eastAsia="黑体" w:cs="黑体"/>
          <w:sz w:val="32"/>
          <w:szCs w:val="32"/>
        </w:rPr>
        <w:t>二、部门财政资金收支情况</w:t>
      </w:r>
    </w:p>
    <w:p>
      <w:pPr>
        <w:pStyle w:val="26"/>
        <w:numPr>
          <w:ilvl w:val="0"/>
          <w:numId w:val="8"/>
        </w:numPr>
        <w:spacing w:line="580" w:lineRule="exact"/>
        <w:ind w:firstLineChars="0"/>
        <w:rPr>
          <w:rFonts w:hint="eastAsia" w:ascii="仿宋" w:hAnsi="仿宋" w:eastAsia="仿宋" w:cs="仿宋"/>
          <w:sz w:val="32"/>
          <w:szCs w:val="32"/>
        </w:rPr>
      </w:pPr>
      <w:r>
        <w:rPr>
          <w:rFonts w:hint="eastAsia" w:ascii="仿宋" w:hAnsi="仿宋" w:eastAsia="仿宋" w:cs="仿宋"/>
          <w:sz w:val="32"/>
          <w:szCs w:val="32"/>
        </w:rPr>
        <w:t>部门财政资金收入情况。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2018年财政拨款收入总计66,270.50万元。与2017年相比，财政拨款收入增加2,103.34 万元，增长3.28%。主要变动原因是正常增资等因素。</w:t>
      </w:r>
    </w:p>
    <w:p>
      <w:pPr>
        <w:pStyle w:val="26"/>
        <w:numPr>
          <w:ilvl w:val="0"/>
          <w:numId w:val="8"/>
        </w:numPr>
        <w:spacing w:line="580" w:lineRule="exact"/>
        <w:ind w:firstLineChars="0"/>
        <w:rPr>
          <w:rFonts w:hint="eastAsia" w:ascii="仿宋" w:hAnsi="仿宋" w:eastAsia="仿宋" w:cs="仿宋"/>
          <w:sz w:val="32"/>
          <w:szCs w:val="32"/>
        </w:rPr>
      </w:pPr>
      <w:r>
        <w:rPr>
          <w:rFonts w:hint="eastAsia" w:ascii="仿宋" w:hAnsi="仿宋" w:eastAsia="仿宋" w:cs="仿宋"/>
          <w:sz w:val="32"/>
          <w:szCs w:val="32"/>
        </w:rPr>
        <w:t>部门财政资金支出情况。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2018年财政拨款支出总计64,100.28万元。与2017年相比，财政拨款支出总计增加235.48 万元，增长0.37%。主要变动原因是正常增资等因素。</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（一）部门预算管理。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市财政局的统一安排，我局于2017年11月组织教育系统财务人员进行预算编制工作。基本支出主要是根据全部人员12月实际发生的工资福利支出进行编制；项目支出主要是在上年预算基础上，根据当年实际情况，测算当年需求，编制滚动预算。</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部门预算安排财政拨款支出主要用于保障该部门机构正常运转、完成日常工作任务以及承担相关项目工作。其中：</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基本支出，是用于保障机关、下属事业单位等机构的日常支出，包括基本工资、津贴补贴等人员经费以及办公费、印刷费、水电费、办公设备购置等日常公用经费。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项目支出是用于保障机关、下属事业单位等机构为完成特定的行政工作任务或事业发展目标，用于专项业务工作的经费支出。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2018年广汉市教育局部门预算财政拨款支出按功能分类主要用于以下方面：</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1.教育支出</w:t>
      </w:r>
      <w:r>
        <w:rPr>
          <w:rFonts w:ascii="仿宋" w:hAnsi="仿宋" w:eastAsia="仿宋" w:cs="仿宋"/>
          <w:sz w:val="32"/>
          <w:szCs w:val="32"/>
        </w:rPr>
        <w:t>48,034.52</w:t>
      </w:r>
      <w:r>
        <w:rPr>
          <w:rFonts w:hint="eastAsia" w:ascii="仿宋" w:hAnsi="仿宋" w:eastAsia="仿宋" w:cs="仿宋"/>
          <w:color w:val="000000"/>
          <w:sz w:val="32"/>
          <w:szCs w:val="32"/>
        </w:rPr>
        <w:t>万元</w:t>
      </w:r>
      <w:r>
        <w:rPr>
          <w:rFonts w:hint="eastAsia" w:ascii="仿宋" w:hAnsi="仿宋" w:eastAsia="仿宋" w:cs="仿宋"/>
          <w:sz w:val="32"/>
          <w:szCs w:val="32"/>
        </w:rPr>
        <w:t>，主要用于：教育局机关及下属学校、幼儿园、事业单位开展正常教育教学活动的支出，包括校园新建、改扩建、维修改造及设施设备采购支出。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2.社会保障和就业支出9,117.82万元，主要用于养老保险及离退休人员地方补贴支出。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3.农林水支出支出285.90万元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4.医疗卫生与计划生育支出2,942.43万元，主要用于机关及下属事业单位按照规定标准为职工缴纳的基本医疗保险及公务员医疗补助等。</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5.住房保障支出3,695.61万元，主要用于机关及下属事业单位按照规定标准为职工缴纳住房公积金等支出。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6.其他支出24.00万元。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（二）执行管理情况。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纳入市级财力专项预算的资金，在年初下达到教育局及下属单位；建设及设施设备采购资金、学生资助资金一般在年初纳入财政预留专项，年度中根据需要向财政申请下达；上级专项资金下达到财政后，我局向财政局申报具体资金安排，财政局根据申报情况及时下达。中央和省专项资金分配合规率100%。</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执行预算过程中，注重资金生态效益，采取各种措施促进节能降耗。一是控制与减少会议费、差旅费和接待费开支。我局认真贯彻执行市委市政府和上级有关文件精神，严格执行会议、差旅、接待工作规定，尽量减少相关费用支出。二是提倡节约用电用水，在学校中开展节约用水用电的教育。办公场所充分采用自然光照，减少照明设备电耗，强化节水意识，培养节水习惯。自来水龙头随用随关，加强水管等设备的检查，减少和杜绝自来水滴、漏、跑、冒等现象，坚决杜绝“长流水”。三是加强日常办公用品管理。局办公室制定细致的日常办公用品采购计划，禁止乱采购的现象;充分发挥现有的电子化办公优势，大力推行电子化办公、办文，节约办公用纸数量，逐步取消纸质文稿，教育局机关内部通过政务平台周转相关文件，严格控制文件印刷数量，文件印刷、复印纸张如无特殊需要均双面使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2018年我局认真贯彻落实中央八项规定和省市“十项规定”，严格控制“三公”经费支出。2018年“三公”经费财政拨款支出决算为23.77万元，是预算的48.74%。</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（三）综合管理情况。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完成非税收入征收任务</w:t>
      </w:r>
      <w:r>
        <w:rPr>
          <w:rFonts w:ascii="仿宋" w:hAnsi="仿宋" w:eastAsia="仿宋" w:cs="仿宋"/>
          <w:sz w:val="32"/>
          <w:szCs w:val="32"/>
        </w:rPr>
        <w:t>56,762,027.32</w:t>
      </w:r>
      <w:r>
        <w:rPr>
          <w:rFonts w:hint="eastAsia" w:ascii="仿宋" w:hAnsi="仿宋" w:eastAsia="仿宋" w:cs="仿宋"/>
          <w:sz w:val="32"/>
          <w:szCs w:val="32"/>
        </w:rPr>
        <w:t>元，其中预算内收入</w:t>
      </w:r>
      <w:r>
        <w:rPr>
          <w:rFonts w:ascii="仿宋" w:hAnsi="仿宋" w:eastAsia="仿宋" w:cs="仿宋"/>
          <w:sz w:val="32"/>
          <w:szCs w:val="32"/>
        </w:rPr>
        <w:t>35,768,881.20</w:t>
      </w:r>
      <w:r>
        <w:rPr>
          <w:rFonts w:hint="eastAsia" w:ascii="仿宋" w:hAnsi="仿宋" w:eastAsia="仿宋" w:cs="仿宋"/>
          <w:sz w:val="32"/>
          <w:szCs w:val="32"/>
        </w:rPr>
        <w:t>元，预算外收入</w:t>
      </w:r>
      <w:r>
        <w:rPr>
          <w:rFonts w:ascii="仿宋" w:hAnsi="仿宋" w:eastAsia="仿宋" w:cs="仿宋"/>
          <w:sz w:val="32"/>
          <w:szCs w:val="32"/>
        </w:rPr>
        <w:t>20,993,146.12</w:t>
      </w:r>
      <w:r>
        <w:rPr>
          <w:rFonts w:hint="eastAsia" w:ascii="仿宋" w:hAnsi="仿宋" w:eastAsia="仿宋" w:cs="仿宋"/>
          <w:sz w:val="32"/>
          <w:szCs w:val="32"/>
        </w:rPr>
        <w:t>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实现政府采购</w:t>
      </w:r>
      <w:r>
        <w:rPr>
          <w:rFonts w:ascii="仿宋" w:hAnsi="仿宋" w:eastAsia="仿宋" w:cs="仿宋"/>
          <w:sz w:val="32"/>
          <w:szCs w:val="32"/>
        </w:rPr>
        <w:t>3,623,490.00</w:t>
      </w:r>
      <w:r>
        <w:rPr>
          <w:rFonts w:hint="eastAsia" w:ascii="仿宋" w:hAnsi="仿宋" w:eastAsia="仿宋" w:cs="仿宋"/>
          <w:sz w:val="32"/>
          <w:szCs w:val="32"/>
        </w:rPr>
        <w:t>元。本系统政府采购主要由教育局统筹实施。教育局根据学校需求列入当年预算，实施采购前将项目提交市政府基建联席会审议，市发改局立项，进入政府招标采购程序。设备到位后，教育局组织专家组验收合格支付设备款。</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全系统国有资产均纳入资产管理信息系统管理，年底根据国资委安排开展了全面的资产清查工作，并根据清查结果和年终决算进行资产年报填报。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根据上级安排，我局组织全系统各下属单位开展了内部控制制度自查工作，在自查基础上对现在内部控制制度进行了完善。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依法对2018年预算在市政府公众信息网上进行了公开，2018年决算将在决算批复后予以公开。</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（四）整体绩效。</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完成重点项目包括：落实保安人员经费561.32万元，服务校园单位53个；实施教育教学成果考核，表彰教师737名，支出表彰奖励等经费300万元。落实教师专业及财务管理培训费1,050,000.00元，培训教师1722人。全年房屋建筑物购建支出</w:t>
      </w:r>
      <w:r>
        <w:rPr>
          <w:rFonts w:ascii="仿宋" w:hAnsi="仿宋" w:eastAsia="仿宋" w:cs="仿宋"/>
          <w:sz w:val="32"/>
          <w:szCs w:val="32"/>
        </w:rPr>
        <w:t>16,203,278.91</w:t>
      </w:r>
      <w:r>
        <w:rPr>
          <w:rFonts w:hint="eastAsia" w:ascii="仿宋" w:hAnsi="仿宋" w:eastAsia="仿宋" w:cs="仿宋"/>
          <w:sz w:val="32"/>
          <w:szCs w:val="32"/>
        </w:rPr>
        <w:t>元，办公设备购置支出</w:t>
      </w:r>
      <w:r>
        <w:rPr>
          <w:rFonts w:ascii="仿宋" w:hAnsi="仿宋" w:eastAsia="仿宋" w:cs="仿宋"/>
          <w:sz w:val="32"/>
          <w:szCs w:val="32"/>
        </w:rPr>
        <w:t>2,891,703.99</w:t>
      </w:r>
      <w:r>
        <w:rPr>
          <w:rFonts w:hint="eastAsia" w:ascii="仿宋" w:hAnsi="仿宋" w:eastAsia="仿宋" w:cs="仿宋"/>
          <w:sz w:val="32"/>
          <w:szCs w:val="32"/>
        </w:rPr>
        <w:t>元，专用设备购置支出</w:t>
      </w:r>
      <w:r>
        <w:rPr>
          <w:rFonts w:ascii="仿宋" w:hAnsi="仿宋" w:eastAsia="仿宋" w:cs="仿宋"/>
          <w:sz w:val="32"/>
          <w:szCs w:val="32"/>
        </w:rPr>
        <w:t>5,495,015.90</w:t>
      </w:r>
      <w:r>
        <w:rPr>
          <w:rFonts w:hint="eastAsia" w:ascii="仿宋" w:hAnsi="仿宋" w:eastAsia="仿宋" w:cs="仿宋"/>
          <w:sz w:val="32"/>
          <w:szCs w:val="32"/>
        </w:rPr>
        <w:t>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2018年市教育局获评全国规范化家长实验区、全国青少年爱国主义读书教育活动组织优秀奖、 四川省家庭教育工作先进集体、四川省实施妇女儿童发展纲要先进集体、四川教育宣传先进单位、德阳市教学管理一等奖等，成功创建3所全国特色学校，校园荣获全国书法教育实验学校、全国生态文明教育示范学校、全国群文阅读示范基地、全国智慧校园示范学校、四川省文明校园等称号。</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（二）专项预算管理。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（三）结果应用情况。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本部门对下属单位开展了整体支出绩效评价，存在的问题： </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我局按照《预算法》按时完成预决算编制。在执行过程中有计划进行资金申报、使用，完善资金管理及内部控制制度，确保资金安全，做到账款、账账、账实相符。为全市教育事业发展提供有效资金保障。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（二）存在问题。</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一是绩效目标不够明确，项目执行效果没有充分预计；二是项目资金安排不够及时，部分当年的项目迟滞到次年完成。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（三）改进建议。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一是学校应提前建立项目库，根据轻重缓急分批进行安排实施；二是加快项目资金执行进度，当年项目尽量于当年完成。</w:t>
      </w:r>
    </w:p>
    <w:p>
      <w:pPr>
        <w:rPr>
          <w:rFonts w:ascii="仿宋" w:hAnsi="仿宋" w:eastAsia="仿宋"/>
          <w:sz w:val="32"/>
          <w:szCs w:val="32"/>
        </w:rPr>
      </w:pPr>
    </w:p>
    <w:p>
      <w:pPr>
        <w:widowControl/>
        <w:jc w:val="left"/>
        <w:rPr>
          <w:rFonts w:ascii="仿宋_GB2312" w:hAnsi="仿宋_GB2312" w:eastAsia="仿宋_GB2312"/>
          <w:sz w:val="32"/>
          <w:szCs w:val="32"/>
        </w:rPr>
      </w:pPr>
      <w:r>
        <w:rPr>
          <w:rFonts w:ascii="仿宋_GB2312" w:hAnsi="仿宋_GB2312" w:eastAsia="仿宋_GB2312"/>
          <w:sz w:val="32"/>
          <w:szCs w:val="32"/>
        </w:rPr>
        <w:br w:type="page"/>
      </w:r>
    </w:p>
    <w:p>
      <w:pPr>
        <w:spacing w:line="600" w:lineRule="exact"/>
        <w:jc w:val="center"/>
        <w:outlineLvl w:val="0"/>
        <w:rPr>
          <w:rStyle w:val="16"/>
          <w:rFonts w:ascii="黑体" w:hAnsi="黑体" w:eastAsia="黑体"/>
          <w:b w:val="0"/>
          <w:bCs w:val="0"/>
        </w:rPr>
      </w:pPr>
      <w:bookmarkStart w:id="61" w:name="_Toc15396618"/>
      <w:r>
        <w:rPr>
          <w:rFonts w:hint="eastAsia" w:ascii="黑体" w:hAnsi="黑体" w:eastAsia="黑体" w:cs="黑体"/>
          <w:color w:val="000000"/>
          <w:sz w:val="44"/>
          <w:szCs w:val="44"/>
        </w:rPr>
        <w:t>第</w:t>
      </w:r>
      <w:r>
        <w:rPr>
          <w:rStyle w:val="16"/>
          <w:rFonts w:hint="eastAsia" w:ascii="黑体" w:hAnsi="黑体" w:eastAsia="黑体" w:cs="黑体"/>
          <w:b w:val="0"/>
          <w:bCs w:val="0"/>
        </w:rPr>
        <w:t>五部分</w:t>
      </w:r>
      <w:r>
        <w:rPr>
          <w:rStyle w:val="16"/>
          <w:rFonts w:ascii="黑体" w:hAnsi="黑体" w:eastAsia="黑体" w:cs="黑体"/>
          <w:b w:val="0"/>
          <w:bCs w:val="0"/>
        </w:rPr>
        <w:t xml:space="preserve"> </w:t>
      </w:r>
      <w:r>
        <w:rPr>
          <w:rStyle w:val="16"/>
          <w:rFonts w:hint="eastAsia" w:ascii="黑体" w:hAnsi="黑体" w:eastAsia="黑体" w:cs="黑体"/>
          <w:b w:val="0"/>
          <w:bCs w:val="0"/>
        </w:rPr>
        <w:t>附表</w:t>
      </w:r>
      <w:bookmarkEnd w:id="57"/>
      <w:bookmarkEnd w:id="61"/>
    </w:p>
    <w:p>
      <w:pPr>
        <w:spacing w:line="600" w:lineRule="exact"/>
        <w:jc w:val="center"/>
        <w:outlineLvl w:val="0"/>
        <w:rPr>
          <w:rFonts w:ascii="仿宋" w:hAnsi="仿宋" w:eastAsia="仿宋"/>
          <w:b/>
          <w:bCs/>
          <w:color w:val="000000"/>
          <w:sz w:val="44"/>
          <w:szCs w:val="44"/>
        </w:rPr>
      </w:pPr>
    </w:p>
    <w:p>
      <w:pPr>
        <w:pStyle w:val="3"/>
        <w:rPr>
          <w:rFonts w:ascii="仿宋" w:hAnsi="仿宋" w:eastAsia="仿宋" w:cs="Times New Roman"/>
          <w:color w:val="000000"/>
        </w:rPr>
      </w:pPr>
      <w:bookmarkStart w:id="62" w:name="_Toc15396619"/>
      <w:r>
        <w:rPr>
          <w:rFonts w:hint="eastAsia" w:ascii="仿宋" w:hAnsi="仿宋" w:eastAsia="仿宋" w:cs="仿宋"/>
          <w:b w:val="0"/>
          <w:bCs w:val="0"/>
          <w:color w:val="000000"/>
        </w:rPr>
        <w:t>一、收</w:t>
      </w:r>
      <w:r>
        <w:rPr>
          <w:rStyle w:val="17"/>
          <w:rFonts w:hint="eastAsia" w:ascii="仿宋" w:hAnsi="仿宋" w:eastAsia="仿宋" w:cs="仿宋"/>
          <w:b w:val="0"/>
          <w:bCs w:val="0"/>
        </w:rPr>
        <w:t>入支出决算总表</w:t>
      </w:r>
      <w:bookmarkEnd w:id="62"/>
    </w:p>
    <w:p>
      <w:pPr>
        <w:pStyle w:val="3"/>
        <w:rPr>
          <w:rFonts w:ascii="仿宋" w:hAnsi="仿宋" w:eastAsia="仿宋" w:cs="Times New Roman"/>
          <w:color w:val="000000"/>
        </w:rPr>
      </w:pPr>
      <w:bookmarkStart w:id="63" w:name="_Toc15396620"/>
      <w:r>
        <w:rPr>
          <w:rFonts w:hint="eastAsia" w:ascii="仿宋" w:hAnsi="仿宋" w:eastAsia="仿宋" w:cs="仿宋"/>
          <w:b w:val="0"/>
          <w:bCs w:val="0"/>
          <w:color w:val="000000"/>
        </w:rPr>
        <w:t>二、收</w:t>
      </w:r>
      <w:r>
        <w:rPr>
          <w:rStyle w:val="17"/>
          <w:rFonts w:hint="eastAsia" w:ascii="仿宋" w:hAnsi="仿宋" w:eastAsia="仿宋" w:cs="仿宋"/>
          <w:b w:val="0"/>
          <w:bCs w:val="0"/>
        </w:rPr>
        <w:t>入总表</w:t>
      </w:r>
      <w:bookmarkEnd w:id="63"/>
    </w:p>
    <w:p>
      <w:pPr>
        <w:pStyle w:val="3"/>
        <w:rPr>
          <w:rFonts w:ascii="仿宋" w:hAnsi="仿宋" w:eastAsia="仿宋" w:cs="Times New Roman"/>
          <w:color w:val="000000"/>
        </w:rPr>
      </w:pPr>
      <w:bookmarkStart w:id="64" w:name="_Toc15396621"/>
      <w:r>
        <w:rPr>
          <w:rStyle w:val="17"/>
          <w:rFonts w:hint="eastAsia" w:ascii="仿宋" w:hAnsi="仿宋" w:eastAsia="仿宋" w:cs="仿宋"/>
          <w:b w:val="0"/>
          <w:bCs w:val="0"/>
        </w:rPr>
        <w:t>三、</w:t>
      </w:r>
      <w:r>
        <w:rPr>
          <w:rFonts w:hint="eastAsia" w:ascii="仿宋" w:hAnsi="仿宋" w:eastAsia="仿宋" w:cs="仿宋"/>
          <w:b w:val="0"/>
          <w:bCs w:val="0"/>
          <w:color w:val="000000"/>
        </w:rPr>
        <w:t>支</w:t>
      </w:r>
      <w:r>
        <w:rPr>
          <w:rStyle w:val="17"/>
          <w:rFonts w:hint="eastAsia" w:ascii="仿宋" w:hAnsi="仿宋" w:eastAsia="仿宋" w:cs="仿宋"/>
          <w:b w:val="0"/>
          <w:bCs w:val="0"/>
        </w:rPr>
        <w:t>出总表</w:t>
      </w:r>
      <w:bookmarkEnd w:id="64"/>
    </w:p>
    <w:p>
      <w:pPr>
        <w:pStyle w:val="3"/>
        <w:rPr>
          <w:rFonts w:ascii="仿宋" w:hAnsi="仿宋" w:eastAsia="仿宋" w:cs="Times New Roman"/>
          <w:b w:val="0"/>
          <w:bCs w:val="0"/>
          <w:color w:val="000000"/>
        </w:rPr>
      </w:pPr>
      <w:bookmarkStart w:id="65" w:name="_Toc15396622"/>
      <w:r>
        <w:rPr>
          <w:rStyle w:val="17"/>
          <w:rFonts w:hint="eastAsia" w:ascii="仿宋" w:hAnsi="仿宋" w:eastAsia="仿宋" w:cs="仿宋"/>
          <w:b w:val="0"/>
          <w:bCs w:val="0"/>
        </w:rPr>
        <w:t>四、</w:t>
      </w:r>
      <w:r>
        <w:rPr>
          <w:rFonts w:hint="eastAsia" w:ascii="仿宋" w:hAnsi="仿宋" w:eastAsia="仿宋" w:cs="仿宋"/>
          <w:b w:val="0"/>
          <w:bCs w:val="0"/>
          <w:color w:val="000000"/>
        </w:rPr>
        <w:t>财</w:t>
      </w:r>
      <w:r>
        <w:rPr>
          <w:rStyle w:val="17"/>
          <w:rFonts w:hint="eastAsia" w:ascii="仿宋" w:hAnsi="仿宋" w:eastAsia="仿宋" w:cs="仿宋"/>
          <w:b w:val="0"/>
          <w:bCs w:val="0"/>
        </w:rPr>
        <w:t>政拨款收入支出决算总表</w:t>
      </w:r>
      <w:bookmarkEnd w:id="65"/>
    </w:p>
    <w:p>
      <w:pPr>
        <w:pStyle w:val="3"/>
        <w:rPr>
          <w:rFonts w:ascii="仿宋" w:hAnsi="仿宋" w:eastAsia="仿宋" w:cs="Times New Roman"/>
          <w:color w:val="000000"/>
        </w:rPr>
      </w:pPr>
      <w:bookmarkStart w:id="66" w:name="_Toc15396623"/>
      <w:r>
        <w:rPr>
          <w:rStyle w:val="17"/>
          <w:rFonts w:hint="eastAsia" w:ascii="仿宋" w:hAnsi="仿宋" w:eastAsia="仿宋" w:cs="仿宋"/>
          <w:b w:val="0"/>
          <w:bCs w:val="0"/>
        </w:rPr>
        <w:t>五、</w:t>
      </w:r>
      <w:r>
        <w:rPr>
          <w:rFonts w:hint="eastAsia" w:ascii="仿宋" w:hAnsi="仿宋" w:eastAsia="仿宋" w:cs="仿宋"/>
          <w:b w:val="0"/>
          <w:bCs w:val="0"/>
          <w:color w:val="000000"/>
        </w:rPr>
        <w:t>财</w:t>
      </w:r>
      <w:r>
        <w:rPr>
          <w:rStyle w:val="17"/>
          <w:rFonts w:hint="eastAsia" w:ascii="仿宋" w:hAnsi="仿宋" w:eastAsia="仿宋" w:cs="仿宋"/>
          <w:b w:val="0"/>
          <w:bCs w:val="0"/>
        </w:rPr>
        <w:t>政拨款支出决算明细表（政府经济分类科目）</w:t>
      </w:r>
      <w:bookmarkEnd w:id="66"/>
    </w:p>
    <w:p>
      <w:pPr>
        <w:pStyle w:val="3"/>
        <w:rPr>
          <w:rFonts w:ascii="仿宋" w:hAnsi="仿宋" w:eastAsia="仿宋" w:cs="Times New Roman"/>
          <w:color w:val="000000"/>
        </w:rPr>
      </w:pPr>
      <w:bookmarkStart w:id="67" w:name="_Toc15396624"/>
      <w:r>
        <w:rPr>
          <w:rStyle w:val="17"/>
          <w:rFonts w:hint="eastAsia" w:ascii="仿宋" w:hAnsi="仿宋" w:eastAsia="仿宋" w:cs="仿宋"/>
          <w:b w:val="0"/>
          <w:bCs w:val="0"/>
        </w:rPr>
        <w:t>六、</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般公共预算财政拨款支出决算表</w:t>
      </w:r>
      <w:bookmarkEnd w:id="67"/>
    </w:p>
    <w:p>
      <w:pPr>
        <w:pStyle w:val="3"/>
        <w:rPr>
          <w:rFonts w:ascii="仿宋" w:hAnsi="仿宋" w:eastAsia="仿宋" w:cs="Times New Roman"/>
          <w:color w:val="000000"/>
        </w:rPr>
      </w:pPr>
      <w:bookmarkStart w:id="68" w:name="_Toc15396625"/>
      <w:r>
        <w:rPr>
          <w:rStyle w:val="17"/>
          <w:rFonts w:hint="eastAsia" w:ascii="仿宋" w:hAnsi="仿宋" w:eastAsia="仿宋" w:cs="仿宋"/>
          <w:b w:val="0"/>
          <w:bCs w:val="0"/>
        </w:rPr>
        <w:t>七、</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般公共预算财政拨款支出决算明细表</w:t>
      </w:r>
      <w:bookmarkEnd w:id="68"/>
    </w:p>
    <w:p>
      <w:pPr>
        <w:pStyle w:val="3"/>
        <w:rPr>
          <w:rFonts w:ascii="仿宋" w:hAnsi="仿宋" w:eastAsia="仿宋" w:cs="Times New Roman"/>
          <w:color w:val="000000"/>
        </w:rPr>
      </w:pPr>
      <w:bookmarkStart w:id="69" w:name="_Toc15396626"/>
      <w:r>
        <w:rPr>
          <w:rStyle w:val="17"/>
          <w:rFonts w:hint="eastAsia" w:ascii="仿宋" w:hAnsi="仿宋" w:eastAsia="仿宋" w:cs="仿宋"/>
          <w:b w:val="0"/>
          <w:bCs w:val="0"/>
        </w:rPr>
        <w:t>八、</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般公共预算财政拨款基本支出决算表</w:t>
      </w:r>
      <w:bookmarkEnd w:id="69"/>
    </w:p>
    <w:p>
      <w:pPr>
        <w:pStyle w:val="3"/>
        <w:rPr>
          <w:rFonts w:ascii="仿宋" w:hAnsi="仿宋" w:eastAsia="仿宋" w:cs="Times New Roman"/>
          <w:color w:val="000000"/>
        </w:rPr>
      </w:pPr>
      <w:bookmarkStart w:id="70" w:name="_Toc15396627"/>
      <w:r>
        <w:rPr>
          <w:rStyle w:val="17"/>
          <w:rFonts w:hint="eastAsia" w:ascii="仿宋" w:hAnsi="仿宋" w:eastAsia="仿宋" w:cs="仿宋"/>
          <w:b w:val="0"/>
          <w:bCs w:val="0"/>
        </w:rPr>
        <w:t>九、</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般公共预算财政拨款项目支出决算表</w:t>
      </w:r>
      <w:bookmarkEnd w:id="70"/>
    </w:p>
    <w:p>
      <w:pPr>
        <w:pStyle w:val="3"/>
        <w:rPr>
          <w:rFonts w:ascii="仿宋" w:hAnsi="仿宋" w:eastAsia="仿宋" w:cs="Times New Roman"/>
          <w:color w:val="000000"/>
        </w:rPr>
      </w:pPr>
      <w:bookmarkStart w:id="71" w:name="_Toc15396628"/>
      <w:r>
        <w:rPr>
          <w:rStyle w:val="17"/>
          <w:rFonts w:hint="eastAsia" w:ascii="仿宋" w:hAnsi="仿宋" w:eastAsia="仿宋" w:cs="仿宋"/>
          <w:b w:val="0"/>
          <w:bCs w:val="0"/>
        </w:rPr>
        <w:t>十、</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般公共预算财政拨款“三公”经费支出决算表</w:t>
      </w:r>
      <w:bookmarkEnd w:id="71"/>
    </w:p>
    <w:p>
      <w:pPr>
        <w:pStyle w:val="3"/>
        <w:rPr>
          <w:rFonts w:ascii="仿宋" w:hAnsi="仿宋" w:eastAsia="仿宋" w:cs="Times New Roman"/>
          <w:color w:val="000000"/>
        </w:rPr>
      </w:pPr>
      <w:bookmarkStart w:id="72" w:name="_Toc15396629"/>
      <w:r>
        <w:rPr>
          <w:rStyle w:val="17"/>
          <w:rFonts w:hint="eastAsia" w:ascii="仿宋" w:hAnsi="仿宋" w:eastAsia="仿宋" w:cs="仿宋"/>
          <w:b w:val="0"/>
          <w:bCs w:val="0"/>
        </w:rPr>
        <w:t>十一、</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府性基金预算财政拨款收入支出决算表</w:t>
      </w:r>
      <w:bookmarkEnd w:id="72"/>
    </w:p>
    <w:p>
      <w:pPr>
        <w:pStyle w:val="3"/>
        <w:rPr>
          <w:rFonts w:ascii="仿宋" w:hAnsi="仿宋" w:eastAsia="仿宋" w:cs="Times New Roman"/>
          <w:color w:val="000000"/>
        </w:rPr>
      </w:pPr>
      <w:bookmarkStart w:id="73" w:name="_Toc15396630"/>
      <w:r>
        <w:rPr>
          <w:rStyle w:val="17"/>
          <w:rFonts w:hint="eastAsia" w:ascii="仿宋" w:hAnsi="仿宋" w:eastAsia="仿宋" w:cs="仿宋"/>
          <w:b w:val="0"/>
          <w:bCs w:val="0"/>
        </w:rPr>
        <w:t>十二、</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府性基金预算财政拨款“三公”经费支出决算表</w:t>
      </w:r>
      <w:bookmarkEnd w:id="73"/>
    </w:p>
    <w:p>
      <w:pPr>
        <w:pStyle w:val="3"/>
        <w:rPr>
          <w:rFonts w:ascii="仿宋" w:hAnsi="仿宋" w:eastAsia="仿宋" w:cs="Times New Roman"/>
          <w:color w:val="000000"/>
        </w:rPr>
      </w:pPr>
      <w:bookmarkStart w:id="74" w:name="_Toc15396631"/>
      <w:r>
        <w:rPr>
          <w:rStyle w:val="17"/>
          <w:rFonts w:hint="eastAsia" w:ascii="仿宋" w:hAnsi="仿宋" w:eastAsia="仿宋" w:cs="仿宋"/>
          <w:b w:val="0"/>
          <w:bCs w:val="0"/>
        </w:rPr>
        <w:t>十三、</w:t>
      </w:r>
      <w:r>
        <w:rPr>
          <w:rFonts w:hint="eastAsia" w:ascii="仿宋" w:hAnsi="仿宋" w:eastAsia="仿宋" w:cs="仿宋"/>
          <w:b w:val="0"/>
          <w:bCs w:val="0"/>
          <w:color w:val="000000"/>
        </w:rPr>
        <w:t>国</w:t>
      </w:r>
      <w:r>
        <w:rPr>
          <w:rStyle w:val="17"/>
          <w:rFonts w:hint="eastAsia" w:ascii="仿宋" w:hAnsi="仿宋" w:eastAsia="仿宋" w:cs="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49F33809"/>
    <w:multiLevelType w:val="multilevel"/>
    <w:tmpl w:val="49F33809"/>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7"/>
  </w:num>
  <w:num w:numId="2">
    <w:abstractNumId w:val="4"/>
  </w:num>
  <w:num w:numId="3">
    <w:abstractNumId w:val="1"/>
  </w:num>
  <w:num w:numId="4">
    <w:abstractNumId w:val="5"/>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1BA7"/>
    <w:rsid w:val="000222C6"/>
    <w:rsid w:val="0002549F"/>
    <w:rsid w:val="000432AE"/>
    <w:rsid w:val="00055FBF"/>
    <w:rsid w:val="00061DFB"/>
    <w:rsid w:val="0006487A"/>
    <w:rsid w:val="00065F8F"/>
    <w:rsid w:val="0007089F"/>
    <w:rsid w:val="000768F2"/>
    <w:rsid w:val="0009184B"/>
    <w:rsid w:val="000918DF"/>
    <w:rsid w:val="00092D7C"/>
    <w:rsid w:val="0009593C"/>
    <w:rsid w:val="000A11C1"/>
    <w:rsid w:val="000A5177"/>
    <w:rsid w:val="000B047F"/>
    <w:rsid w:val="000B5923"/>
    <w:rsid w:val="000B5A48"/>
    <w:rsid w:val="000B6FF3"/>
    <w:rsid w:val="000C3467"/>
    <w:rsid w:val="000C3CA6"/>
    <w:rsid w:val="000D1267"/>
    <w:rsid w:val="000D1D50"/>
    <w:rsid w:val="000D5782"/>
    <w:rsid w:val="000E410C"/>
    <w:rsid w:val="000E6613"/>
    <w:rsid w:val="000E7119"/>
    <w:rsid w:val="00105D14"/>
    <w:rsid w:val="00114E9B"/>
    <w:rsid w:val="001424F6"/>
    <w:rsid w:val="0014729F"/>
    <w:rsid w:val="00150F32"/>
    <w:rsid w:val="00157BAB"/>
    <w:rsid w:val="001654D1"/>
    <w:rsid w:val="001663EE"/>
    <w:rsid w:val="00170E3E"/>
    <w:rsid w:val="0018106D"/>
    <w:rsid w:val="001877A7"/>
    <w:rsid w:val="001878B8"/>
    <w:rsid w:val="00191536"/>
    <w:rsid w:val="00191E63"/>
    <w:rsid w:val="00196687"/>
    <w:rsid w:val="001A63E7"/>
    <w:rsid w:val="001B06F5"/>
    <w:rsid w:val="001C0962"/>
    <w:rsid w:val="001C0D35"/>
    <w:rsid w:val="001D3216"/>
    <w:rsid w:val="001D7531"/>
    <w:rsid w:val="001E2DD5"/>
    <w:rsid w:val="001E737D"/>
    <w:rsid w:val="001F0592"/>
    <w:rsid w:val="001F299E"/>
    <w:rsid w:val="001F7506"/>
    <w:rsid w:val="002006CD"/>
    <w:rsid w:val="00202B36"/>
    <w:rsid w:val="00203F92"/>
    <w:rsid w:val="00204B7A"/>
    <w:rsid w:val="0021101A"/>
    <w:rsid w:val="00217810"/>
    <w:rsid w:val="00220536"/>
    <w:rsid w:val="00234B66"/>
    <w:rsid w:val="002353F8"/>
    <w:rsid w:val="00235629"/>
    <w:rsid w:val="00255BFD"/>
    <w:rsid w:val="00260C38"/>
    <w:rsid w:val="002616C0"/>
    <w:rsid w:val="002662AA"/>
    <w:rsid w:val="00280496"/>
    <w:rsid w:val="00295295"/>
    <w:rsid w:val="00295495"/>
    <w:rsid w:val="002A2BC5"/>
    <w:rsid w:val="002B2613"/>
    <w:rsid w:val="002D4094"/>
    <w:rsid w:val="002E08BD"/>
    <w:rsid w:val="002F1818"/>
    <w:rsid w:val="002F567B"/>
    <w:rsid w:val="0030153F"/>
    <w:rsid w:val="00303648"/>
    <w:rsid w:val="003216A9"/>
    <w:rsid w:val="00360D6C"/>
    <w:rsid w:val="00362067"/>
    <w:rsid w:val="00362365"/>
    <w:rsid w:val="00364FFF"/>
    <w:rsid w:val="0037013F"/>
    <w:rsid w:val="0037037A"/>
    <w:rsid w:val="003727AC"/>
    <w:rsid w:val="00380C92"/>
    <w:rsid w:val="003A484F"/>
    <w:rsid w:val="003B0BE0"/>
    <w:rsid w:val="003B0C1B"/>
    <w:rsid w:val="003B688C"/>
    <w:rsid w:val="003C0291"/>
    <w:rsid w:val="003C39AE"/>
    <w:rsid w:val="003C7B60"/>
    <w:rsid w:val="003D1FB2"/>
    <w:rsid w:val="003D66DA"/>
    <w:rsid w:val="003E1310"/>
    <w:rsid w:val="003E2187"/>
    <w:rsid w:val="003E6F55"/>
    <w:rsid w:val="00406254"/>
    <w:rsid w:val="004223DE"/>
    <w:rsid w:val="004245E2"/>
    <w:rsid w:val="00427CC2"/>
    <w:rsid w:val="00431B96"/>
    <w:rsid w:val="00434489"/>
    <w:rsid w:val="00437085"/>
    <w:rsid w:val="00437D4F"/>
    <w:rsid w:val="004414FB"/>
    <w:rsid w:val="00443880"/>
    <w:rsid w:val="004464F4"/>
    <w:rsid w:val="00452E96"/>
    <w:rsid w:val="00464901"/>
    <w:rsid w:val="00471401"/>
    <w:rsid w:val="00473F31"/>
    <w:rsid w:val="0048263A"/>
    <w:rsid w:val="00487E5D"/>
    <w:rsid w:val="00496AE7"/>
    <w:rsid w:val="00496D74"/>
    <w:rsid w:val="004A711F"/>
    <w:rsid w:val="004B199D"/>
    <w:rsid w:val="004B4690"/>
    <w:rsid w:val="004E061C"/>
    <w:rsid w:val="004E0A2D"/>
    <w:rsid w:val="004E206B"/>
    <w:rsid w:val="004E3261"/>
    <w:rsid w:val="004E6DF7"/>
    <w:rsid w:val="004F0FBD"/>
    <w:rsid w:val="00500467"/>
    <w:rsid w:val="00505A47"/>
    <w:rsid w:val="00512FDA"/>
    <w:rsid w:val="005138B2"/>
    <w:rsid w:val="00520DA0"/>
    <w:rsid w:val="00522846"/>
    <w:rsid w:val="0052688F"/>
    <w:rsid w:val="00555DC0"/>
    <w:rsid w:val="005664BB"/>
    <w:rsid w:val="00572726"/>
    <w:rsid w:val="0057481D"/>
    <w:rsid w:val="0058486E"/>
    <w:rsid w:val="00594D0C"/>
    <w:rsid w:val="005A0E38"/>
    <w:rsid w:val="005D1C8B"/>
    <w:rsid w:val="005D2630"/>
    <w:rsid w:val="005D2EFF"/>
    <w:rsid w:val="005D5CED"/>
    <w:rsid w:val="005E1D4B"/>
    <w:rsid w:val="005F1A4C"/>
    <w:rsid w:val="00605688"/>
    <w:rsid w:val="006070AF"/>
    <w:rsid w:val="00607E6C"/>
    <w:rsid w:val="006101B1"/>
    <w:rsid w:val="00614E44"/>
    <w:rsid w:val="00622830"/>
    <w:rsid w:val="0062457B"/>
    <w:rsid w:val="00630AEF"/>
    <w:rsid w:val="006325F8"/>
    <w:rsid w:val="00634C9A"/>
    <w:rsid w:val="006440E4"/>
    <w:rsid w:val="00651871"/>
    <w:rsid w:val="0066343B"/>
    <w:rsid w:val="00664777"/>
    <w:rsid w:val="00670A7F"/>
    <w:rsid w:val="006747C7"/>
    <w:rsid w:val="006748A4"/>
    <w:rsid w:val="0067583D"/>
    <w:rsid w:val="00683E73"/>
    <w:rsid w:val="00693ADE"/>
    <w:rsid w:val="006A3141"/>
    <w:rsid w:val="006A5E34"/>
    <w:rsid w:val="006B2422"/>
    <w:rsid w:val="006B2B9A"/>
    <w:rsid w:val="006B355A"/>
    <w:rsid w:val="006C1937"/>
    <w:rsid w:val="006D434A"/>
    <w:rsid w:val="006D66F7"/>
    <w:rsid w:val="006E6352"/>
    <w:rsid w:val="006F020C"/>
    <w:rsid w:val="006F7554"/>
    <w:rsid w:val="007127B7"/>
    <w:rsid w:val="00714F03"/>
    <w:rsid w:val="0072658E"/>
    <w:rsid w:val="007416B6"/>
    <w:rsid w:val="00746F48"/>
    <w:rsid w:val="0075404D"/>
    <w:rsid w:val="0076182A"/>
    <w:rsid w:val="00767B7E"/>
    <w:rsid w:val="007770C3"/>
    <w:rsid w:val="00784D24"/>
    <w:rsid w:val="00785FBA"/>
    <w:rsid w:val="00786E4A"/>
    <w:rsid w:val="007875EB"/>
    <w:rsid w:val="0079426B"/>
    <w:rsid w:val="00794445"/>
    <w:rsid w:val="007A0606"/>
    <w:rsid w:val="007A2E26"/>
    <w:rsid w:val="007A5900"/>
    <w:rsid w:val="007C269D"/>
    <w:rsid w:val="007C72A4"/>
    <w:rsid w:val="007D312A"/>
    <w:rsid w:val="007D3F19"/>
    <w:rsid w:val="007E23B0"/>
    <w:rsid w:val="007F1991"/>
    <w:rsid w:val="007F2C2F"/>
    <w:rsid w:val="007F55FC"/>
    <w:rsid w:val="007F5665"/>
    <w:rsid w:val="00800112"/>
    <w:rsid w:val="008253BB"/>
    <w:rsid w:val="0083706E"/>
    <w:rsid w:val="008423A5"/>
    <w:rsid w:val="0084606F"/>
    <w:rsid w:val="00850625"/>
    <w:rsid w:val="00853718"/>
    <w:rsid w:val="00855221"/>
    <w:rsid w:val="008575E6"/>
    <w:rsid w:val="00860645"/>
    <w:rsid w:val="00871F71"/>
    <w:rsid w:val="00885AF4"/>
    <w:rsid w:val="008939CD"/>
    <w:rsid w:val="008B768C"/>
    <w:rsid w:val="008C4DB1"/>
    <w:rsid w:val="008C4EAF"/>
    <w:rsid w:val="008C5176"/>
    <w:rsid w:val="008C7FD0"/>
    <w:rsid w:val="008D51F4"/>
    <w:rsid w:val="008E1DE7"/>
    <w:rsid w:val="008E707C"/>
    <w:rsid w:val="008E763B"/>
    <w:rsid w:val="008F05B8"/>
    <w:rsid w:val="00900B08"/>
    <w:rsid w:val="00902155"/>
    <w:rsid w:val="00902FA3"/>
    <w:rsid w:val="00906CFD"/>
    <w:rsid w:val="009167F7"/>
    <w:rsid w:val="00923564"/>
    <w:rsid w:val="0092392E"/>
    <w:rsid w:val="009315F9"/>
    <w:rsid w:val="00933819"/>
    <w:rsid w:val="00941222"/>
    <w:rsid w:val="00946945"/>
    <w:rsid w:val="00946C11"/>
    <w:rsid w:val="00951248"/>
    <w:rsid w:val="0095152F"/>
    <w:rsid w:val="00953D17"/>
    <w:rsid w:val="00954C49"/>
    <w:rsid w:val="00964411"/>
    <w:rsid w:val="0097099F"/>
    <w:rsid w:val="00971997"/>
    <w:rsid w:val="00971FFC"/>
    <w:rsid w:val="00975EC0"/>
    <w:rsid w:val="0098112A"/>
    <w:rsid w:val="0098660A"/>
    <w:rsid w:val="009931C3"/>
    <w:rsid w:val="009A1732"/>
    <w:rsid w:val="009B2C43"/>
    <w:rsid w:val="009B4EAE"/>
    <w:rsid w:val="009B5C62"/>
    <w:rsid w:val="009B6C5F"/>
    <w:rsid w:val="009B7573"/>
    <w:rsid w:val="009C22F4"/>
    <w:rsid w:val="009C2E98"/>
    <w:rsid w:val="009D3447"/>
    <w:rsid w:val="009D4711"/>
    <w:rsid w:val="009D6C9E"/>
    <w:rsid w:val="009E667C"/>
    <w:rsid w:val="009F1185"/>
    <w:rsid w:val="009F18CD"/>
    <w:rsid w:val="009F2A13"/>
    <w:rsid w:val="009F5738"/>
    <w:rsid w:val="00A04EB0"/>
    <w:rsid w:val="00A13CC1"/>
    <w:rsid w:val="00A16847"/>
    <w:rsid w:val="00A16962"/>
    <w:rsid w:val="00A205A8"/>
    <w:rsid w:val="00A237D8"/>
    <w:rsid w:val="00A268C4"/>
    <w:rsid w:val="00A307CD"/>
    <w:rsid w:val="00A3251B"/>
    <w:rsid w:val="00A40A00"/>
    <w:rsid w:val="00A4142F"/>
    <w:rsid w:val="00A5158C"/>
    <w:rsid w:val="00A56DF2"/>
    <w:rsid w:val="00A61931"/>
    <w:rsid w:val="00A67AB5"/>
    <w:rsid w:val="00A73A0B"/>
    <w:rsid w:val="00A868B2"/>
    <w:rsid w:val="00A91760"/>
    <w:rsid w:val="00A93B00"/>
    <w:rsid w:val="00A93C21"/>
    <w:rsid w:val="00AA69D5"/>
    <w:rsid w:val="00AB3787"/>
    <w:rsid w:val="00AC2202"/>
    <w:rsid w:val="00AC3C6A"/>
    <w:rsid w:val="00AC63DD"/>
    <w:rsid w:val="00AD200E"/>
    <w:rsid w:val="00AD5620"/>
    <w:rsid w:val="00AD7C1B"/>
    <w:rsid w:val="00AE16BA"/>
    <w:rsid w:val="00AE1EBE"/>
    <w:rsid w:val="00AF0345"/>
    <w:rsid w:val="00B0375F"/>
    <w:rsid w:val="00B03C9D"/>
    <w:rsid w:val="00B060AE"/>
    <w:rsid w:val="00B078DF"/>
    <w:rsid w:val="00B079F0"/>
    <w:rsid w:val="00B10517"/>
    <w:rsid w:val="00B14E76"/>
    <w:rsid w:val="00B161B8"/>
    <w:rsid w:val="00B2048C"/>
    <w:rsid w:val="00B310B9"/>
    <w:rsid w:val="00B32D8D"/>
    <w:rsid w:val="00B35F3F"/>
    <w:rsid w:val="00B36CBB"/>
    <w:rsid w:val="00B425E0"/>
    <w:rsid w:val="00B440AA"/>
    <w:rsid w:val="00B44B70"/>
    <w:rsid w:val="00B530AF"/>
    <w:rsid w:val="00B53C56"/>
    <w:rsid w:val="00B55237"/>
    <w:rsid w:val="00B67C30"/>
    <w:rsid w:val="00B77EA6"/>
    <w:rsid w:val="00B81598"/>
    <w:rsid w:val="00B841F1"/>
    <w:rsid w:val="00B944D6"/>
    <w:rsid w:val="00BB4DF0"/>
    <w:rsid w:val="00BB738B"/>
    <w:rsid w:val="00BC289F"/>
    <w:rsid w:val="00BC5361"/>
    <w:rsid w:val="00BC5460"/>
    <w:rsid w:val="00BC6B50"/>
    <w:rsid w:val="00BD0E25"/>
    <w:rsid w:val="00BF2261"/>
    <w:rsid w:val="00BF5BD6"/>
    <w:rsid w:val="00C03451"/>
    <w:rsid w:val="00C03E31"/>
    <w:rsid w:val="00C03EE1"/>
    <w:rsid w:val="00C33E72"/>
    <w:rsid w:val="00C354B2"/>
    <w:rsid w:val="00C35554"/>
    <w:rsid w:val="00C42709"/>
    <w:rsid w:val="00C479EB"/>
    <w:rsid w:val="00C533CC"/>
    <w:rsid w:val="00C54CD1"/>
    <w:rsid w:val="00C5751C"/>
    <w:rsid w:val="00C61BFC"/>
    <w:rsid w:val="00C62B85"/>
    <w:rsid w:val="00C65438"/>
    <w:rsid w:val="00C74D0E"/>
    <w:rsid w:val="00C91CBB"/>
    <w:rsid w:val="00CA7A52"/>
    <w:rsid w:val="00CC09B6"/>
    <w:rsid w:val="00CC2EA6"/>
    <w:rsid w:val="00CC666F"/>
    <w:rsid w:val="00CD1E3F"/>
    <w:rsid w:val="00CE44F6"/>
    <w:rsid w:val="00CE49DA"/>
    <w:rsid w:val="00CE7B61"/>
    <w:rsid w:val="00CF423C"/>
    <w:rsid w:val="00D00095"/>
    <w:rsid w:val="00D10C8B"/>
    <w:rsid w:val="00D20620"/>
    <w:rsid w:val="00D22D99"/>
    <w:rsid w:val="00D26091"/>
    <w:rsid w:val="00D30BB4"/>
    <w:rsid w:val="00D34E7C"/>
    <w:rsid w:val="00D35489"/>
    <w:rsid w:val="00D507F8"/>
    <w:rsid w:val="00D51276"/>
    <w:rsid w:val="00D7035F"/>
    <w:rsid w:val="00D70431"/>
    <w:rsid w:val="00D819BE"/>
    <w:rsid w:val="00DA65AC"/>
    <w:rsid w:val="00DB0F51"/>
    <w:rsid w:val="00DB1913"/>
    <w:rsid w:val="00DC410D"/>
    <w:rsid w:val="00DC68CA"/>
    <w:rsid w:val="00DC7CBA"/>
    <w:rsid w:val="00DD73B7"/>
    <w:rsid w:val="00DF28BC"/>
    <w:rsid w:val="00DF34B9"/>
    <w:rsid w:val="00DF709A"/>
    <w:rsid w:val="00E01053"/>
    <w:rsid w:val="00E02DCB"/>
    <w:rsid w:val="00E034EF"/>
    <w:rsid w:val="00E03BCB"/>
    <w:rsid w:val="00E0669D"/>
    <w:rsid w:val="00E07ACF"/>
    <w:rsid w:val="00E11E28"/>
    <w:rsid w:val="00E331A1"/>
    <w:rsid w:val="00E33202"/>
    <w:rsid w:val="00E336A9"/>
    <w:rsid w:val="00E405D6"/>
    <w:rsid w:val="00E40879"/>
    <w:rsid w:val="00E50624"/>
    <w:rsid w:val="00E54A9C"/>
    <w:rsid w:val="00E568DF"/>
    <w:rsid w:val="00E64269"/>
    <w:rsid w:val="00E66551"/>
    <w:rsid w:val="00E82267"/>
    <w:rsid w:val="00E93D1C"/>
    <w:rsid w:val="00EA010F"/>
    <w:rsid w:val="00EA4447"/>
    <w:rsid w:val="00EC09D0"/>
    <w:rsid w:val="00ED1B63"/>
    <w:rsid w:val="00ED3C1F"/>
    <w:rsid w:val="00ED4085"/>
    <w:rsid w:val="00ED420E"/>
    <w:rsid w:val="00EE2F57"/>
    <w:rsid w:val="00EF4C34"/>
    <w:rsid w:val="00EF77C6"/>
    <w:rsid w:val="00F014D4"/>
    <w:rsid w:val="00F018ED"/>
    <w:rsid w:val="00F05438"/>
    <w:rsid w:val="00F0672C"/>
    <w:rsid w:val="00F1361C"/>
    <w:rsid w:val="00F160C7"/>
    <w:rsid w:val="00F217F9"/>
    <w:rsid w:val="00F21AD7"/>
    <w:rsid w:val="00F33AF6"/>
    <w:rsid w:val="00F36D8F"/>
    <w:rsid w:val="00F40936"/>
    <w:rsid w:val="00F417B1"/>
    <w:rsid w:val="00F504C4"/>
    <w:rsid w:val="00F56DA7"/>
    <w:rsid w:val="00F602DF"/>
    <w:rsid w:val="00F81FD9"/>
    <w:rsid w:val="00F841AA"/>
    <w:rsid w:val="00F84AE2"/>
    <w:rsid w:val="00F90831"/>
    <w:rsid w:val="00FA013C"/>
    <w:rsid w:val="00FA23E8"/>
    <w:rsid w:val="00FC5BAD"/>
    <w:rsid w:val="00FD3CC1"/>
    <w:rsid w:val="00FD565F"/>
    <w:rsid w:val="00FF1E02"/>
    <w:rsid w:val="00FF30B4"/>
    <w:rsid w:val="10C055FF"/>
    <w:rsid w:val="16BB723D"/>
    <w:rsid w:val="240371BF"/>
    <w:rsid w:val="29FD04D3"/>
    <w:rsid w:val="319F7F4E"/>
    <w:rsid w:val="662A35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24"/>
      <w:szCs w:val="24"/>
    </w:rPr>
  </w:style>
  <w:style w:type="paragraph" w:styleId="6">
    <w:name w:val="toc 3"/>
    <w:basedOn w:val="1"/>
    <w:next w:val="1"/>
    <w:semiHidden/>
    <w:uiPriority w:val="99"/>
    <w:pPr>
      <w:tabs>
        <w:tab w:val="right" w:leader="dot" w:pos="8296"/>
      </w:tabs>
      <w:ind w:left="840" w:leftChars="400"/>
    </w:pPr>
  </w:style>
  <w:style w:type="paragraph" w:styleId="7">
    <w:name w:val="Balloon Text"/>
    <w:basedOn w:val="1"/>
    <w:link w:val="28"/>
    <w:semiHidden/>
    <w:qFormat/>
    <w:uiPriority w:val="99"/>
    <w:rPr>
      <w:sz w:val="18"/>
      <w:szCs w:val="18"/>
    </w:rPr>
  </w:style>
  <w:style w:type="paragraph" w:styleId="8">
    <w:name w:val="footer"/>
    <w:basedOn w:val="1"/>
    <w:link w:val="23"/>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semiHidden/>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标题 1 Char"/>
    <w:basedOn w:val="13"/>
    <w:link w:val="2"/>
    <w:qFormat/>
    <w:locked/>
    <w:uiPriority w:val="99"/>
    <w:rPr>
      <w:rFonts w:ascii="Times New Roman" w:hAnsi="Times New Roman" w:cs="Times New Roman"/>
      <w:b/>
      <w:bCs/>
      <w:kern w:val="44"/>
      <w:sz w:val="44"/>
      <w:szCs w:val="44"/>
    </w:rPr>
  </w:style>
  <w:style w:type="character" w:customStyle="1" w:styleId="17">
    <w:name w:val="标题 2 Char"/>
    <w:basedOn w:val="13"/>
    <w:link w:val="3"/>
    <w:qFormat/>
    <w:locked/>
    <w:uiPriority w:val="99"/>
    <w:rPr>
      <w:rFonts w:ascii="Cambria" w:hAnsi="Cambria" w:eastAsia="宋体" w:cs="Cambria"/>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Footer Char"/>
    <w:basedOn w:val="13"/>
    <w:link w:val="8"/>
    <w:semiHidden/>
    <w:locked/>
    <w:uiPriority w:val="99"/>
    <w:rPr>
      <w:rFonts w:ascii="Times New Roman" w:hAnsi="Times New Roman" w:cs="Times New Roman"/>
      <w:sz w:val="18"/>
      <w:szCs w:val="18"/>
    </w:rPr>
  </w:style>
  <w:style w:type="character" w:customStyle="1" w:styleId="21">
    <w:name w:val="Header Char"/>
    <w:basedOn w:val="13"/>
    <w:link w:val="9"/>
    <w:semiHidden/>
    <w:locked/>
    <w:uiPriority w:val="99"/>
    <w:rPr>
      <w:rFonts w:ascii="Times New Roman" w:hAnsi="Times New Roman" w:cs="Times New Roman"/>
      <w:sz w:val="18"/>
      <w:szCs w:val="18"/>
    </w:rPr>
  </w:style>
  <w:style w:type="character" w:customStyle="1" w:styleId="22">
    <w:name w:val="页眉 Char"/>
    <w:link w:val="9"/>
    <w:semiHidden/>
    <w:locked/>
    <w:uiPriority w:val="99"/>
    <w:rPr>
      <w:sz w:val="18"/>
      <w:szCs w:val="18"/>
    </w:rPr>
  </w:style>
  <w:style w:type="character" w:customStyle="1" w:styleId="23">
    <w:name w:val="页脚 Char"/>
    <w:link w:val="8"/>
    <w:locked/>
    <w:uiPriority w:val="99"/>
    <w:rPr>
      <w:sz w:val="18"/>
      <w:szCs w:val="18"/>
    </w:rPr>
  </w:style>
  <w:style w:type="character" w:customStyle="1" w:styleId="24">
    <w:name w:val="正文文本 Char"/>
    <w:link w:val="5"/>
    <w:locked/>
    <w:uiPriority w:val="99"/>
    <w:rPr>
      <w:rFonts w:ascii="仿宋_GB2312" w:hAnsi="Times New Roman" w:eastAsia="仿宋_GB2312" w:cs="仿宋_GB2312"/>
      <w:sz w:val="24"/>
      <w:szCs w:val="24"/>
    </w:rPr>
  </w:style>
  <w:style w:type="paragraph" w:customStyle="1" w:styleId="25">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paragraph" w:customStyle="1" w:styleId="27">
    <w:name w:val="TOC Heading"/>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8">
    <w:name w:val="批注框文本 Char"/>
    <w:basedOn w:val="13"/>
    <w:link w:val="7"/>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UserData\My%20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02"/>
          <c:y val="0"/>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Sheet5!$F$9</c:f>
              <c:strCache>
                <c:ptCount val="1"/>
                <c:pt idx="0">
                  <c:v>“三公”经费支出</c:v>
                </c:pt>
              </c:strCache>
            </c:strRef>
          </c:tx>
          <c:explosion val="25"/>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Sheet5!$E$10:$E$12</c:f>
              <c:strCache>
                <c:ptCount val="3"/>
                <c:pt idx="0">
                  <c:v>因公出国（境）费用</c:v>
                </c:pt>
                <c:pt idx="1">
                  <c:v>公务用车购置及运行费</c:v>
                </c:pt>
                <c:pt idx="2">
                  <c:v>公务接待费</c:v>
                </c:pt>
              </c:strCache>
            </c:strRef>
          </c:cat>
          <c:val>
            <c:numRef>
              <c:f>Sheet5!$F$10:$F$12</c:f>
              <c:numCache>
                <c:formatCode>#,##0.00</c:formatCode>
                <c:ptCount val="3"/>
                <c:pt idx="0">
                  <c:v>0</c:v>
                </c:pt>
                <c:pt idx="1">
                  <c:v>20.54</c:v>
                </c:pt>
                <c:pt idx="2">
                  <c:v>3.23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49</Pages>
  <Words>3475</Words>
  <Characters>19808</Characters>
  <Lines>165</Lines>
  <Paragraphs>46</Paragraphs>
  <TotalTime>241</TotalTime>
  <ScaleCrop>false</ScaleCrop>
  <LinksUpToDate>false</LinksUpToDate>
  <CharactersWithSpaces>23237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2019-10-31T08:17:00Z</dcterms:created>
  <dc:creator>张彬茜</dc:creator>
  <cp:lastModifiedBy>admin</cp:lastModifiedBy>
  <cp:lastPrinted>2019-08-01T00:48:00Z</cp:lastPrinted>
  <dcterms:modified xsi:type="dcterms:W3CDTF">2022-02-08T08:21:01Z</dcterms:modified>
  <dc:title>四川省***</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8F2DEF211EFE4795890F35D56F611DA8</vt:lpwstr>
  </property>
</Properties>
</file>