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宋体" w:hAnsi="宋体" w:cs="宋体"/>
          <w:b/>
          <w:bCs/>
          <w:color w:val="auto"/>
          <w:sz w:val="36"/>
          <w:szCs w:val="36"/>
        </w:rPr>
      </w:pPr>
      <w:r>
        <w:rPr>
          <w:rFonts w:hint="eastAsia" w:ascii="宋体" w:hAnsi="宋体" w:cs="宋体"/>
          <w:b/>
          <w:bCs/>
          <w:color w:val="auto"/>
          <w:sz w:val="36"/>
          <w:szCs w:val="36"/>
          <w:lang w:eastAsia="zh-CN"/>
        </w:rPr>
        <w:t>电</w:t>
      </w:r>
      <w:r>
        <w:rPr>
          <w:rFonts w:hint="eastAsia" w:ascii="宋体" w:hAnsi="宋体" w:cs="宋体"/>
          <w:b/>
          <w:bCs/>
          <w:color w:val="auto"/>
          <w:sz w:val="36"/>
          <w:szCs w:val="36"/>
          <w:lang w:val="en-US" w:eastAsia="zh-CN"/>
        </w:rPr>
        <w:t>线电</w:t>
      </w:r>
      <w:r>
        <w:rPr>
          <w:rFonts w:hint="eastAsia" w:ascii="宋体" w:hAnsi="宋体" w:cs="宋体"/>
          <w:b/>
          <w:bCs/>
          <w:color w:val="auto"/>
          <w:sz w:val="36"/>
          <w:szCs w:val="36"/>
          <w:lang w:eastAsia="zh-CN"/>
        </w:rPr>
        <w:t>缆</w:t>
      </w:r>
      <w:r>
        <w:rPr>
          <w:rFonts w:hint="eastAsia" w:ascii="宋体" w:hAnsi="宋体" w:cs="宋体"/>
          <w:b/>
          <w:bCs/>
          <w:color w:val="auto"/>
          <w:sz w:val="36"/>
          <w:szCs w:val="36"/>
        </w:rPr>
        <w:t>产品质量监督抽查实施细则</w:t>
      </w:r>
    </w:p>
    <w:p>
      <w:pPr>
        <w:spacing w:line="560" w:lineRule="exact"/>
        <w:jc w:val="center"/>
        <w:rPr>
          <w:rFonts w:hint="default" w:ascii="宋体" w:hAnsi="宋体" w:cs="仿宋_GB2312"/>
          <w:b/>
          <w:bCs/>
          <w:color w:val="auto"/>
          <w:sz w:val="32"/>
          <w:szCs w:val="32"/>
          <w:lang w:val="en-US"/>
        </w:rPr>
      </w:pPr>
      <w:r>
        <w:rPr>
          <w:rFonts w:hint="eastAsia" w:ascii="黑体" w:hAnsi="黑体" w:eastAsia="黑体" w:cs="黑体"/>
          <w:color w:val="000000"/>
          <w:sz w:val="28"/>
          <w:szCs w:val="28"/>
          <w:lang w:val="en-US" w:eastAsia="zh-CN"/>
        </w:rPr>
        <w:t>GHJX-2022-22</w:t>
      </w:r>
      <w:bookmarkStart w:id="0" w:name="_GoBack"/>
      <w:bookmarkEnd w:id="0"/>
    </w:p>
    <w:p>
      <w:pPr>
        <w:spacing w:line="560" w:lineRule="exact"/>
        <w:rPr>
          <w:rFonts w:hint="eastAsia" w:ascii="宋体" w:hAnsi="宋体" w:cs="仿宋_GB2312"/>
          <w:b/>
          <w:bCs/>
          <w:color w:val="auto"/>
          <w:sz w:val="32"/>
          <w:szCs w:val="32"/>
        </w:rPr>
      </w:pPr>
      <w:r>
        <w:rPr>
          <w:rFonts w:hint="eastAsia" w:ascii="宋体" w:hAnsi="宋体" w:cs="仿宋_GB2312"/>
          <w:b/>
          <w:bCs/>
          <w:color w:val="auto"/>
          <w:sz w:val="32"/>
          <w:szCs w:val="32"/>
        </w:rPr>
        <w:t>1   抽样</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1</w:t>
      </w:r>
      <w:r>
        <w:rPr>
          <w:rFonts w:hint="eastAsia" w:ascii="宋体" w:hAnsi="宋体" w:cs="仿宋_GB2312"/>
          <w:b/>
          <w:color w:val="auto"/>
          <w:sz w:val="32"/>
          <w:szCs w:val="32"/>
        </w:rPr>
        <w:t xml:space="preserve">  抽样型号或规格</w:t>
      </w:r>
    </w:p>
    <w:p>
      <w:pPr>
        <w:spacing w:line="56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产品种类</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电线电缆。</w:t>
      </w:r>
    </w:p>
    <w:p>
      <w:pPr>
        <w:spacing w:line="560" w:lineRule="exact"/>
        <w:ind w:firstLine="640" w:firstLineChars="200"/>
        <w:rPr>
          <w:rFonts w:hint="eastAsia" w:ascii="宋体" w:hAnsi="宋体" w:cs="仿宋_GB2312"/>
          <w:b/>
          <w:color w:val="auto"/>
          <w:sz w:val="32"/>
          <w:szCs w:val="32"/>
        </w:rPr>
      </w:pPr>
      <w:r>
        <w:rPr>
          <w:rFonts w:hint="eastAsia" w:ascii="仿宋_GB2312" w:hAnsi="仿宋_GB2312" w:eastAsia="仿宋_GB2312" w:cs="仿宋_GB2312"/>
          <w:color w:val="auto"/>
          <w:sz w:val="32"/>
          <w:szCs w:val="32"/>
        </w:rPr>
        <w:t>抽取的样品应为同一型号规格的产品。应优先抽取企业主导产品。</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2</w:t>
      </w:r>
      <w:r>
        <w:rPr>
          <w:rFonts w:hint="eastAsia" w:ascii="宋体" w:hAnsi="宋体" w:cs="仿宋_GB2312"/>
          <w:b/>
          <w:color w:val="auto"/>
          <w:sz w:val="32"/>
          <w:szCs w:val="32"/>
        </w:rPr>
        <w:t xml:space="preserve">  抽样方法</w:t>
      </w:r>
      <w:r>
        <w:rPr>
          <w:rFonts w:hint="eastAsia" w:ascii="宋体" w:hAnsi="宋体" w:cs="仿宋_GB2312"/>
          <w:b/>
          <w:iCs/>
          <w:color w:val="auto"/>
          <w:sz w:val="32"/>
          <w:szCs w:val="32"/>
        </w:rPr>
        <w:t>、基数、</w:t>
      </w:r>
      <w:r>
        <w:rPr>
          <w:rFonts w:hint="eastAsia" w:ascii="宋体" w:hAnsi="宋体" w:cs="仿宋_GB2312"/>
          <w:b/>
          <w:color w:val="auto"/>
          <w:sz w:val="32"/>
          <w:szCs w:val="32"/>
        </w:rPr>
        <w:t>抽样数量</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.1  在生产企业成品仓库内或流通领域随机抽取经</w:t>
      </w:r>
      <w:r>
        <w:rPr>
          <w:rFonts w:hint="eastAsia" w:ascii="仿宋_GB2312" w:hAnsi="仿宋_GB2312" w:eastAsia="仿宋_GB2312" w:cs="仿宋_GB2312"/>
          <w:sz w:val="32"/>
          <w:szCs w:val="32"/>
        </w:rPr>
        <w:t>生产企业检验合格或以任何方式表明合格的待销产品。</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  在企业成品库内或市场上抽样时，抽样基数满足抽样数量即可。</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  抽样数量</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.3.1电线电缆：</w:t>
      </w:r>
      <w:r>
        <w:rPr>
          <w:rFonts w:hint="eastAsia" w:ascii="仿宋_GB2312" w:hAnsi="仿宋_GB2312" w:eastAsia="仿宋_GB2312" w:cs="仿宋_GB2312"/>
          <w:sz w:val="32"/>
          <w:szCs w:val="32"/>
          <w:lang w:val="en-US" w:eastAsia="zh-CN"/>
        </w:rPr>
        <w:t>每批次产品抽取样品（50+4X）米，其中（</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30+1.5X）米作为检验样品，（20+2.5X）米作为 备 用 样 品 。 X 为 成 束 燃 烧 试 验 所 需 样 品 长 度 ，根 据 GB/T 18380.33-2008 、 GB/T 18380.34-2008、GB/T 18380.35-2008 和 GB/T 18380.36-2008 标准中的简易计算方法进行计算，计算公式如下： </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A 类阻燃：X=[7000/(3.14×D2/4-s)] 取整×3.5 米 </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B 类阻燃：X=[3500/(3.14×D2/4-s)] 取整×3.5 米 </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C 类阻燃：X=[1500/(3.14×D2/4-s)] 取整×3.5 米 </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D 类阻燃：X=[500/(3.14×D2/4-s)] 取整×3.5 米 </w:t>
      </w:r>
    </w:p>
    <w:p>
      <w:pPr>
        <w:spacing w:line="5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en-US" w:eastAsia="zh-CN"/>
        </w:rPr>
        <w:t>以上计算公式中，D 为电缆成品外径，单位 mm；s 为所有金属</w:t>
      </w:r>
      <w:r>
        <w:rPr>
          <w:rFonts w:hint="eastAsia" w:ascii="仿宋_GB2312" w:hAnsi="仿宋_GB2312" w:eastAsia="仿宋_GB2312" w:cs="仿宋_GB2312"/>
          <w:color w:val="auto"/>
          <w:sz w:val="32"/>
          <w:szCs w:val="32"/>
          <w:lang w:val="en-US" w:eastAsia="zh-CN"/>
        </w:rPr>
        <w:t>材料的截面积，单位 mm2。</w:t>
      </w:r>
      <w:r>
        <w:rPr>
          <w:rFonts w:hint="eastAsia" w:ascii="仿宋_GB2312" w:hAnsi="仿宋_GB2312" w:eastAsia="仿宋_GB2312" w:cs="仿宋_GB2312"/>
          <w:color w:val="auto"/>
          <w:sz w:val="32"/>
          <w:szCs w:val="32"/>
        </w:rPr>
        <w:t>另一卷作为备用样品。</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3</w:t>
      </w:r>
      <w:r>
        <w:rPr>
          <w:rFonts w:hint="eastAsia" w:ascii="宋体" w:hAnsi="宋体" w:cs="仿宋_GB2312"/>
          <w:b/>
          <w:color w:val="auto"/>
          <w:sz w:val="32"/>
          <w:szCs w:val="32"/>
        </w:rPr>
        <w:t xml:space="preserve">  抽样注意事项</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检验样品和备用样品分别包装封样，做好样品保护、防潮和签封措施，附合格证明。</w:t>
      </w:r>
    </w:p>
    <w:p>
      <w:pPr>
        <w:spacing w:line="560" w:lineRule="exact"/>
        <w:rPr>
          <w:rFonts w:hint="eastAsia" w:ascii="宋体" w:hAnsi="宋体" w:cs="仿宋_GB2312"/>
          <w:b/>
          <w:bCs/>
          <w:sz w:val="32"/>
          <w:szCs w:val="32"/>
        </w:rPr>
      </w:pPr>
      <w:r>
        <w:rPr>
          <w:rFonts w:hint="eastAsia" w:ascii="宋体" w:hAnsi="宋体" w:cs="仿宋_GB2312"/>
          <w:b/>
          <w:bCs/>
          <w:sz w:val="32"/>
          <w:szCs w:val="32"/>
        </w:rPr>
        <w:t>2  检验</w:t>
      </w:r>
    </w:p>
    <w:p>
      <w:pPr>
        <w:pStyle w:val="17"/>
        <w:spacing w:before="0" w:beforeLines="0" w:after="0" w:afterLines="0" w:line="560" w:lineRule="exact"/>
        <w:jc w:val="both"/>
        <w:rPr>
          <w:rFonts w:hint="eastAsia" w:ascii="宋体" w:eastAsia="宋体" w:cs="仿宋_GB2312"/>
          <w:b/>
          <w:sz w:val="32"/>
          <w:szCs w:val="32"/>
          <w:lang w:eastAsia="zh-CN"/>
        </w:rPr>
      </w:pPr>
      <w:r>
        <w:rPr>
          <w:rFonts w:hint="eastAsia" w:ascii="宋体" w:eastAsia="宋体" w:cs="仿宋_GB2312"/>
          <w:b/>
          <w:sz w:val="32"/>
          <w:szCs w:val="32"/>
          <w:lang w:eastAsia="zh-CN"/>
        </w:rPr>
        <w:t xml:space="preserve">2.1 检验依据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2951.11-2008 电缆和光缆绝缘和护套材料通用试验方法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11 部分：通用试验4 方法-厚度和外形尺寸测量-机械性能试验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2951.12-2008 电缆和光缆绝缘和护套材料通用试验方法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12 部分：通用试验方法-热老化试验方法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2951.13-2008 电缆和光缆绝缘和护套材料通用试验方法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13 部分：通用试验方法-密度测定方法-吸水试验-收缩试验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2951.21-2008 电缆和光缆绝缘和护套材料通用试验方法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21 部分：弹性体混合料专用试验方法-耐臭氧试验-热延伸试验-浸矿物油试验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2951.32-2008 电缆和光缆绝缘和护套材料通用试验方法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32 部分：聚氯乙烯混合料专用试验方法-失重试验-热稳定性试验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GB/T 12706.1-2008 额定电压 1 kV（Um=1.2 kV）到 35 kV（</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Um=40.5 kV）挤包绝缘电力电缆及附件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1 部分：额定电压 1 kV（Um=1.2 kV）和 3 kV（Um=3.6 kV）电缆 GB/T 12706.1-2020 额定电压 1 kV（Um=1.2 kV）到 35 kV（Um=40.5 kV）挤包绝缘电力电缆及附件 </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 1 部分：额定电压 1 kV（Um=1.2 kV）和 3 kV（Um=3.6 kV）电缆</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18380.12-2008 电缆和光缆在火焰条件下的燃烧试验 </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 12 部分：单根绝缘电线电缆火焰垂直蔓延试验1kW 预混合型火焰试验方法</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GB/T 18380.13-2008电缆和光缆在火焰条件下的燃烧试验</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13 部分：单根绝缘电 线电缆火焰垂直蔓延试验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测定燃烧的滴落（物）/微粒的试验方法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18380.33-2008 电缆和光缆在火焰条件下的燃烧试验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33 部分：垂直安装的 成束电线电缆火焰垂直蔓延试验 A 类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18380.34-2008 电缆和光缆在火焰条件下的燃烧试验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34 部分：垂直安装的 成束电线电缆火焰垂直蔓延试验 B 类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18380.35-2008 电缆和光缆在火焰条件下的燃烧试验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35 部分：垂直安装的 成束电线电缆火焰垂直蔓延试验 C 类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18380.36-2008 电缆和光缆在火焰条件下的燃烧试验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36 部分：垂直安装的成束电线电缆火焰垂直蔓延试验 D 类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19216.21-2003 在火焰条件下电缆或光缆的线路完整性验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21 部分：试验步骤和要求—额定电压 0.6/1.0kV 及以下电缆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19666-2005 阻燃和耐火电线电缆通则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GB/T 19666-2019 阻燃和耐火电线电缆或光缆通则 </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GA 306.1-2007 阻燃及耐火电缆塑料绝缘阻燃及耐火电缆分级和要求 </w:t>
      </w:r>
    </w:p>
    <w:p>
      <w:pPr>
        <w:rPr>
          <w:rFonts w:hint="eastAsia"/>
          <w:lang w:val="en-US" w:eastAsia="zh-CN"/>
        </w:rPr>
      </w:pPr>
      <w:r>
        <w:rPr>
          <w:rFonts w:hint="eastAsia"/>
          <w:lang w:val="en-US" w:eastAsia="zh-CN"/>
        </w:rPr>
        <w:br w:type="page"/>
      </w:r>
    </w:p>
    <w:p>
      <w:pPr>
        <w:pStyle w:val="2"/>
        <w:rPr>
          <w:rFonts w:hint="eastAsia"/>
          <w:lang w:val="en-US" w:eastAsia="zh-CN"/>
        </w:rPr>
      </w:pP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 1 部分： 阻燃电缆</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GA 306.2-2007 阻燃及耐火电缆 </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塑料绝缘阻燃及耐火电缆分级和要求</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第 2 部分： 耐火电缆XF 306.1-2007 </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阻燃及耐火电缆塑料绝缘阻燃及耐火电缆分级和要求</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 1 部分： 阻燃电缆</w:t>
      </w:r>
    </w:p>
    <w:p>
      <w:pPr>
        <w:autoSpaceDE w:val="0"/>
        <w:autoSpaceDN w:val="0"/>
        <w:adjustRightInd w:val="0"/>
        <w:snapToGrid w:val="0"/>
        <w:spacing w:line="56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XF 306.2-2007 阻燃及耐火电缆塑料绝缘阻燃及耐火电缆分级和要求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第 2 部分： 耐火电缆</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现行有效的企业标准、团体标准、地方标准及产品明示质量要求</w:t>
      </w:r>
    </w:p>
    <w:p>
      <w:pPr>
        <w:pStyle w:val="17"/>
        <w:spacing w:before="0" w:beforeLines="0" w:after="0" w:afterLines="0" w:line="560" w:lineRule="exact"/>
        <w:jc w:val="both"/>
        <w:rPr>
          <w:rFonts w:hint="eastAsia" w:ascii="宋体" w:eastAsia="宋体" w:cs="仿宋_GB2312"/>
          <w:b/>
          <w:sz w:val="32"/>
          <w:szCs w:val="32"/>
          <w:lang w:eastAsia="zh-CN"/>
        </w:rPr>
      </w:pPr>
      <w:r>
        <w:rPr>
          <w:rFonts w:hint="eastAsia" w:ascii="宋体" w:eastAsia="宋体" w:cs="仿宋_GB2312"/>
          <w:b/>
          <w:sz w:val="32"/>
          <w:szCs w:val="32"/>
          <w:lang w:eastAsia="zh-CN"/>
        </w:rPr>
        <w:t>2.2 检验项目</w:t>
      </w:r>
    </w:p>
    <w:p>
      <w:pPr>
        <w:autoSpaceDE w:val="0"/>
        <w:autoSpaceDN w:val="0"/>
        <w:adjustRightInd w:val="0"/>
        <w:snapToGrid w:val="0"/>
        <w:spacing w:line="5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2.2.1  电线电缆检验项目见表1</w:t>
      </w:r>
      <w:r>
        <w:rPr>
          <w:rFonts w:hint="eastAsia" w:ascii="宋体" w:hAnsi="宋体" w:cs="宋体"/>
          <w:sz w:val="32"/>
          <w:szCs w:val="32"/>
        </w:rPr>
        <w:t>。</w:t>
      </w:r>
    </w:p>
    <w:p>
      <w:pPr>
        <w:pStyle w:val="17"/>
        <w:spacing w:before="0" w:beforeLines="0" w:after="0" w:afterLines="0" w:line="560" w:lineRule="exact"/>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表1 电线电缆检验项目</w:t>
      </w:r>
    </w:p>
    <w:tbl>
      <w:tblPr>
        <w:tblStyle w:val="14"/>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919"/>
        <w:gridCol w:w="3649"/>
        <w:gridCol w:w="2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840"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序号</w:t>
            </w:r>
          </w:p>
        </w:tc>
        <w:tc>
          <w:tcPr>
            <w:tcW w:w="1919"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检验项目</w:t>
            </w:r>
          </w:p>
        </w:tc>
        <w:tc>
          <w:tcPr>
            <w:tcW w:w="3649"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依据法律法规</w:t>
            </w:r>
          </w:p>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或标准</w:t>
            </w:r>
          </w:p>
        </w:tc>
        <w:tc>
          <w:tcPr>
            <w:tcW w:w="2904"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blHeader/>
          <w:jc w:val="center"/>
        </w:trPr>
        <w:tc>
          <w:tcPr>
            <w:tcW w:w="840" w:type="dxa"/>
            <w:vMerge w:val="continue"/>
            <w:noWrap w:val="0"/>
            <w:vAlign w:val="center"/>
          </w:tcPr>
          <w:p>
            <w:pPr>
              <w:adjustRightInd w:val="0"/>
              <w:snapToGrid w:val="0"/>
              <w:spacing w:line="276" w:lineRule="auto"/>
              <w:jc w:val="center"/>
              <w:rPr>
                <w:rFonts w:hint="eastAsia" w:ascii="仿宋_GB2312" w:hAnsi="仿宋_GB2312" w:eastAsia="仿宋_GB2312" w:cs="仿宋_GB2312"/>
                <w:color w:val="auto"/>
                <w:sz w:val="28"/>
                <w:szCs w:val="28"/>
              </w:rPr>
            </w:pPr>
          </w:p>
        </w:tc>
        <w:tc>
          <w:tcPr>
            <w:tcW w:w="1919" w:type="dxa"/>
            <w:vMerge w:val="continue"/>
            <w:noWrap w:val="0"/>
            <w:vAlign w:val="center"/>
          </w:tcPr>
          <w:p>
            <w:pPr>
              <w:adjustRightInd w:val="0"/>
              <w:snapToGrid w:val="0"/>
              <w:spacing w:line="276" w:lineRule="auto"/>
              <w:rPr>
                <w:rFonts w:hint="eastAsia" w:ascii="仿宋_GB2312" w:hAnsi="仿宋_GB2312" w:eastAsia="仿宋_GB2312" w:cs="仿宋_GB2312"/>
                <w:color w:val="auto"/>
                <w:sz w:val="28"/>
                <w:szCs w:val="28"/>
              </w:rPr>
            </w:pPr>
          </w:p>
        </w:tc>
        <w:tc>
          <w:tcPr>
            <w:tcW w:w="3649" w:type="dxa"/>
            <w:vMerge w:val="continue"/>
            <w:noWrap w:val="0"/>
            <w:vAlign w:val="center"/>
          </w:tcPr>
          <w:p>
            <w:pPr>
              <w:adjustRightInd w:val="0"/>
              <w:snapToGrid w:val="0"/>
              <w:spacing w:line="276" w:lineRule="auto"/>
              <w:rPr>
                <w:rFonts w:hint="eastAsia" w:ascii="仿宋_GB2312" w:hAnsi="仿宋_GB2312" w:eastAsia="仿宋_GB2312" w:cs="仿宋_GB2312"/>
                <w:color w:val="auto"/>
                <w:sz w:val="28"/>
                <w:szCs w:val="28"/>
              </w:rPr>
            </w:pPr>
          </w:p>
        </w:tc>
        <w:tc>
          <w:tcPr>
            <w:tcW w:w="2904" w:type="dxa"/>
            <w:vMerge w:val="continue"/>
            <w:noWrap w:val="0"/>
            <w:vAlign w:val="center"/>
          </w:tcPr>
          <w:p>
            <w:pPr>
              <w:adjustRightInd w:val="0"/>
              <w:snapToGrid w:val="0"/>
              <w:spacing w:line="276" w:lineRule="auto"/>
              <w:jc w:val="center"/>
              <w:rPr>
                <w:rFonts w:hint="eastAsia" w:ascii="仿宋_GB2312" w:hAnsi="仿宋_GB2312" w:eastAsia="仿宋_GB2312" w:cs="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 w:eastAsia="仿宋_GB2312" w:cs="仿宋"/>
                <w:color w:val="auto"/>
                <w:sz w:val="28"/>
                <w:szCs w:val="28"/>
              </w:rPr>
              <w:t>1</w:t>
            </w:r>
          </w:p>
        </w:tc>
        <w:tc>
          <w:tcPr>
            <w:tcW w:w="1919"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 w:eastAsia="仿宋_GB2312" w:cs="仿宋"/>
                <w:color w:val="auto"/>
                <w:sz w:val="28"/>
                <w:szCs w:val="28"/>
              </w:rPr>
              <w:t>绝缘老化前抗张强度</w:t>
            </w:r>
          </w:p>
        </w:tc>
        <w:tc>
          <w:tcPr>
            <w:tcW w:w="3649"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lang w:val="en-US" w:eastAsia="zh-CN"/>
              </w:rPr>
              <w:t>GB/T 2951.11-2008</w:t>
            </w:r>
          </w:p>
          <w:p>
            <w:pPr>
              <w:spacing w:line="440" w:lineRule="exact"/>
              <w:jc w:val="center"/>
              <w:rPr>
                <w:rFonts w:hint="eastAsia" w:ascii="仿宋_GB2312" w:hAnsi="仿宋" w:eastAsia="仿宋_GB2312" w:cs="仿宋"/>
                <w:color w:val="auto"/>
                <w:sz w:val="28"/>
                <w:szCs w:val="28"/>
              </w:rPr>
            </w:pP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lang w:val="en-US" w:eastAsia="zh-CN"/>
              </w:rPr>
              <w:t>GB/T 2951.11-2008</w:t>
            </w:r>
          </w:p>
          <w:p>
            <w:pPr>
              <w:spacing w:line="440" w:lineRule="exact"/>
              <w:jc w:val="center"/>
              <w:rPr>
                <w:rFonts w:hint="default" w:ascii="仿宋_GB2312" w:hAnsi="仿宋" w:eastAsia="仿宋_GB2312" w:cs="仿宋"/>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p>
        </w:tc>
        <w:tc>
          <w:tcPr>
            <w:tcW w:w="1919"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绝缘老化前断裂伸长率</w:t>
            </w:r>
          </w:p>
        </w:tc>
        <w:tc>
          <w:tcPr>
            <w:tcW w:w="3649"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lang w:val="en-US" w:eastAsia="zh-CN"/>
              </w:rPr>
              <w:t xml:space="preserve">GB/T 2951.11-2008 </w:t>
            </w:r>
          </w:p>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lang w:val="en-US" w:eastAsia="zh-CN"/>
              </w:rPr>
              <w:t>GB/T 2951.12-2008</w:t>
            </w:r>
          </w:p>
          <w:p>
            <w:pPr>
              <w:spacing w:line="440" w:lineRule="exact"/>
              <w:jc w:val="center"/>
              <w:rPr>
                <w:rFonts w:hint="eastAsia" w:ascii="仿宋_GB2312" w:hAnsi="仿宋" w:eastAsia="仿宋_GB2312" w:cs="仿宋"/>
                <w:color w:val="auto"/>
                <w:sz w:val="28"/>
                <w:szCs w:val="28"/>
              </w:rPr>
            </w:pP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lang w:val="en-US" w:eastAsia="zh-CN"/>
              </w:rPr>
              <w:t xml:space="preserve">GB/T 2951.11-2008 </w:t>
            </w:r>
          </w:p>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lang w:val="en-US" w:eastAsia="zh-CN"/>
              </w:rPr>
              <w:t>GB/T 2951.12-2008</w:t>
            </w:r>
          </w:p>
          <w:p>
            <w:pPr>
              <w:spacing w:line="440" w:lineRule="exact"/>
              <w:jc w:val="center"/>
              <w:rPr>
                <w:rFonts w:hint="eastAsia" w:ascii="仿宋_GB2312" w:hAnsi="仿宋" w:eastAsia="仿宋_GB2312" w:cs="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w:t>
            </w:r>
          </w:p>
        </w:tc>
        <w:tc>
          <w:tcPr>
            <w:tcW w:w="1919" w:type="dxa"/>
            <w:noWrap w:val="0"/>
            <w:vAlign w:val="center"/>
          </w:tcPr>
          <w:p>
            <w:pPr>
              <w:spacing w:line="440" w:lineRule="exact"/>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绝缘电阻</w:t>
            </w:r>
          </w:p>
        </w:tc>
        <w:tc>
          <w:tcPr>
            <w:tcW w:w="3649"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GB/T 5013.4-2008</w:t>
            </w: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GB/T 5013.4-2008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w:t>
            </w:r>
          </w:p>
        </w:tc>
        <w:tc>
          <w:tcPr>
            <w:tcW w:w="1919"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导体直流电阻</w:t>
            </w:r>
          </w:p>
        </w:tc>
        <w:tc>
          <w:tcPr>
            <w:tcW w:w="3649"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GB/T 5013.4-2008</w:t>
            </w: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GB/T 5013.4-2008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c>
          <w:tcPr>
            <w:tcW w:w="1919" w:type="dxa"/>
            <w:noWrap w:val="0"/>
            <w:vAlign w:val="center"/>
          </w:tcPr>
          <w:p>
            <w:pPr>
              <w:spacing w:line="440" w:lineRule="exact"/>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绝缘平均厚度</w:t>
            </w:r>
          </w:p>
        </w:tc>
        <w:tc>
          <w:tcPr>
            <w:tcW w:w="3649"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lang w:val="en-US" w:eastAsia="zh-CN"/>
              </w:rPr>
              <w:t>GB/T 2951.11-2008</w:t>
            </w:r>
          </w:p>
          <w:p>
            <w:pPr>
              <w:spacing w:line="440" w:lineRule="exact"/>
              <w:jc w:val="center"/>
              <w:rPr>
                <w:rFonts w:hint="eastAsia" w:ascii="仿宋_GB2312" w:hAnsi="仿宋" w:eastAsia="仿宋_GB2312" w:cs="仿宋"/>
                <w:color w:val="auto"/>
                <w:sz w:val="28"/>
                <w:szCs w:val="28"/>
              </w:rPr>
            </w:pP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lang w:val="en-US" w:eastAsia="zh-CN"/>
              </w:rPr>
              <w:t>GB/T 2951.11-2008</w:t>
            </w:r>
          </w:p>
          <w:p>
            <w:pPr>
              <w:spacing w:line="440" w:lineRule="exact"/>
              <w:jc w:val="center"/>
              <w:rPr>
                <w:rFonts w:hint="eastAsia" w:ascii="仿宋_GB2312" w:hAnsi="仿宋" w:eastAsia="仿宋_GB2312" w:cs="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6</w:t>
            </w:r>
          </w:p>
        </w:tc>
        <w:tc>
          <w:tcPr>
            <w:tcW w:w="1919" w:type="dxa"/>
            <w:noWrap w:val="0"/>
            <w:vAlign w:val="center"/>
          </w:tcPr>
          <w:p>
            <w:pPr>
              <w:spacing w:line="440" w:lineRule="exact"/>
              <w:jc w:val="center"/>
              <w:rPr>
                <w:rFonts w:hint="eastAsia" w:ascii="仿宋_GB2312" w:hAnsi="仿宋" w:eastAsia="仿宋_GB2312" w:cs="仿宋"/>
                <w:color w:val="auto"/>
                <w:sz w:val="28"/>
                <w:szCs w:val="28"/>
                <w:lang w:eastAsia="zh-CN"/>
              </w:rPr>
            </w:pPr>
            <w:r>
              <w:rPr>
                <w:rFonts w:hint="eastAsia" w:ascii="仿宋_GB2312" w:hAnsi="仿宋" w:eastAsia="仿宋_GB2312" w:cs="仿宋"/>
                <w:color w:val="auto"/>
                <w:sz w:val="28"/>
                <w:szCs w:val="28"/>
                <w:lang w:val="en-US" w:eastAsia="zh-CN"/>
              </w:rPr>
              <w:t>绝缘最薄厚度</w:t>
            </w:r>
          </w:p>
        </w:tc>
        <w:tc>
          <w:tcPr>
            <w:tcW w:w="3649"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lang w:val="en-US" w:eastAsia="zh-CN"/>
              </w:rPr>
              <w:t>GB/T 2951.11-2008</w:t>
            </w:r>
          </w:p>
          <w:p>
            <w:pPr>
              <w:spacing w:line="440" w:lineRule="exact"/>
              <w:jc w:val="center"/>
              <w:rPr>
                <w:rFonts w:hint="eastAsia" w:ascii="仿宋_GB2312" w:hAnsi="仿宋" w:eastAsia="仿宋_GB2312" w:cs="仿宋"/>
                <w:color w:val="auto"/>
                <w:sz w:val="28"/>
                <w:szCs w:val="28"/>
              </w:rPr>
            </w:pP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lang w:val="en-US" w:eastAsia="zh-CN"/>
              </w:rPr>
              <w:t>GB/T 2951.11-2008</w:t>
            </w:r>
          </w:p>
          <w:p>
            <w:pPr>
              <w:spacing w:line="440" w:lineRule="exact"/>
              <w:jc w:val="center"/>
              <w:rPr>
                <w:rFonts w:hint="eastAsia" w:ascii="仿宋_GB2312" w:hAnsi="仿宋" w:eastAsia="仿宋_GB2312" w:cs="仿宋"/>
                <w:color w:val="auto"/>
                <w:sz w:val="28"/>
                <w:szCs w:val="28"/>
              </w:rPr>
            </w:pPr>
          </w:p>
        </w:tc>
      </w:tr>
    </w:tbl>
    <w:p>
      <w:pPr>
        <w:spacing w:line="560" w:lineRule="exact"/>
        <w:rPr>
          <w:rFonts w:hint="eastAsia" w:ascii="宋体" w:hAnsi="宋体" w:cs="仿宋_GB2312"/>
          <w:b/>
          <w:color w:val="000000"/>
          <w:sz w:val="32"/>
          <w:szCs w:val="32"/>
        </w:rPr>
      </w:pPr>
      <w:r>
        <w:rPr>
          <w:rFonts w:hint="eastAsia" w:ascii="宋体" w:hAnsi="宋体" w:cs="仿宋_GB2312"/>
          <w:b/>
          <w:color w:val="auto"/>
          <w:sz w:val="32"/>
          <w:szCs w:val="32"/>
        </w:rPr>
        <w:t>2.3  检验过程中需注意的问题</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CN"/>
        </w:rPr>
        <w:t>不宜复检项目：</w:t>
      </w:r>
      <w:r>
        <w:rPr>
          <w:rFonts w:hint="eastAsia" w:ascii="仿宋_GB2312" w:hAnsi="仿宋_GB2312" w:eastAsia="仿宋_GB2312" w:cs="仿宋_GB2312"/>
          <w:color w:val="000000"/>
          <w:sz w:val="32"/>
          <w:szCs w:val="32"/>
        </w:rPr>
        <w:t>电压试验和4h电压试验</w:t>
      </w:r>
      <w:r>
        <w:rPr>
          <w:rFonts w:hint="eastAsia" w:ascii="仿宋_GB2312" w:hAnsi="仿宋_GB2312" w:eastAsia="仿宋_GB2312" w:cs="仿宋_GB2312"/>
          <w:color w:val="000000"/>
          <w:sz w:val="32"/>
          <w:szCs w:val="32"/>
          <w:lang w:val="zh-CN"/>
        </w:rPr>
        <w:t>因电压击穿试验属偶发事件，是由于电缆绝缘不均匀的原因或有沙眼的原因所致，具有不可重复性，故</w:t>
      </w:r>
      <w:r>
        <w:rPr>
          <w:rFonts w:hint="eastAsia" w:ascii="仿宋_GB2312" w:hAnsi="仿宋_GB2312" w:eastAsia="仿宋_GB2312" w:cs="仿宋_GB2312"/>
          <w:color w:val="000000"/>
          <w:sz w:val="32"/>
          <w:szCs w:val="32"/>
        </w:rPr>
        <w:t>不对该项目进行复检。</w:t>
      </w:r>
    </w:p>
    <w:p>
      <w:pPr>
        <w:spacing w:line="560" w:lineRule="exact"/>
        <w:rPr>
          <w:rFonts w:hint="eastAsia" w:ascii="宋体" w:hAnsi="宋体" w:cs="仿宋_GB2312"/>
          <w:b/>
          <w:bCs/>
          <w:color w:val="000000"/>
          <w:sz w:val="32"/>
          <w:szCs w:val="32"/>
        </w:rPr>
      </w:pPr>
      <w:r>
        <w:rPr>
          <w:rFonts w:hint="eastAsia" w:ascii="宋体" w:hAnsi="宋体" w:cs="仿宋_GB2312"/>
          <w:b/>
          <w:bCs/>
          <w:color w:val="000000"/>
          <w:sz w:val="32"/>
          <w:szCs w:val="32"/>
        </w:rPr>
        <w:t>3 判定规则</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经检验，检验项目全部合格，判定为被抽查产品所检项目未发现不合格；检验项目中任一项或一项以上不合格，判定为被抽查产品不合格。 </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若被检产品明示的质量要求高于本细则中检验项目依据的标准要求时，应按被检产品明示的质量要求判定。 </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若被检产品明示的质量要求低于本细则中检验项目依据的强制性标准要求时，应按照强制性标准要求判定。 </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若被检产品明示的质量要求低于或包含本细则中检验项目依据的推荐性标准要求时，应以被检产品明示的质量要求判定，但应在检验报告备注中进行说明。 </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若被检产品明示的质量要求缺少本细则中检验项目依据的强制性标准要求时，应按照强制性标准要求判定。 </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若被检产品明示的质量要求缺少本细则中检验项目依据的推荐性标准要求时，该项目不参与判定，但应在检验报告备注中进行说明。</w:t>
      </w:r>
    </w:p>
    <w:p/>
    <w:sectPr>
      <w:headerReference r:id="rId3" w:type="default"/>
      <w:footerReference r:id="rId4" w:type="default"/>
      <w:pgSz w:w="11906" w:h="16838"/>
      <w:pgMar w:top="1440" w:right="1474" w:bottom="1440"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hint="eastAsia" w:ascii="宋体" w:hAnsi="宋体"/>
      </w:rPr>
    </w:pPr>
    <w:r>
      <w:rPr>
        <w:rFonts w:ascii="宋体"/>
      </w:rPr>
      <w:fldChar w:fldCharType="begin"/>
    </w:r>
    <w:r>
      <w:rPr>
        <w:rStyle w:val="16"/>
        <w:rFonts w:ascii="宋体" w:eastAsia="宋体"/>
      </w:rPr>
      <w:instrText xml:space="preserve"> PAGE </w:instrText>
    </w:r>
    <w:r>
      <w:rPr>
        <w:rFonts w:ascii="宋体"/>
      </w:rPr>
      <w:fldChar w:fldCharType="separate"/>
    </w:r>
    <w:r>
      <w:rPr>
        <w:rStyle w:val="16"/>
        <w:rFonts w:ascii="宋体" w:eastAsia="宋体"/>
      </w:rPr>
      <w:t>15</w:t>
    </w:r>
    <w:r>
      <w:rPr>
        <w:rFonts w:asci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tabs>
        <w:tab w:val="clear" w:pos="8306"/>
      </w:tabs>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E3438E"/>
    <w:multiLevelType w:val="multilevel"/>
    <w:tmpl w:val="AFE3438E"/>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mJhMjJmOTVhMWQ5ZDBjZWYwNWI0MzY4OTIyMGIifQ=="/>
  </w:docVars>
  <w:rsids>
    <w:rsidRoot w:val="0C877471"/>
    <w:rsid w:val="08E2637E"/>
    <w:rsid w:val="0C877471"/>
    <w:rsid w:val="11FB7A9F"/>
    <w:rsid w:val="15AC0694"/>
    <w:rsid w:val="1BCB6D01"/>
    <w:rsid w:val="3CB12016"/>
    <w:rsid w:val="463C7F6E"/>
    <w:rsid w:val="60EB0B04"/>
    <w:rsid w:val="6D603546"/>
    <w:rsid w:val="78BE0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4">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6">
    <w:name w:val="heading 4"/>
    <w:basedOn w:val="1"/>
    <w:next w:val="1"/>
    <w:semiHidden/>
    <w:unhideWhenUsed/>
    <w:qFormat/>
    <w:uiPriority w:val="0"/>
    <w:pPr>
      <w:keepNext/>
      <w:keepLines/>
      <w:numPr>
        <w:ilvl w:val="3"/>
        <w:numId w:val="1"/>
      </w:numPr>
      <w:tabs>
        <w:tab w:val="left" w:pos="0"/>
      </w:tabs>
      <w:spacing w:before="280" w:beforeLines="0" w:beforeAutospacing="0" w:after="290" w:afterLines="0" w:afterAutospacing="0" w:line="372" w:lineRule="auto"/>
      <w:ind w:left="864" w:hanging="864"/>
      <w:outlineLvl w:val="3"/>
    </w:pPr>
    <w:rPr>
      <w:rFonts w:ascii="Arial" w:hAnsi="Arial" w:eastAsia="宋体"/>
      <w:b/>
      <w:sz w:val="24"/>
    </w:rPr>
  </w:style>
  <w:style w:type="paragraph" w:styleId="7">
    <w:name w:val="heading 5"/>
    <w:basedOn w:val="1"/>
    <w:next w:val="1"/>
    <w:semiHidden/>
    <w:unhideWhenUsed/>
    <w:qFormat/>
    <w:uiPriority w:val="0"/>
    <w:pPr>
      <w:keepNext/>
      <w:keepLines/>
      <w:numPr>
        <w:ilvl w:val="4"/>
        <w:numId w:val="1"/>
      </w:numPr>
      <w:tabs>
        <w:tab w:val="left" w:pos="0"/>
      </w:tabs>
      <w:spacing w:before="280" w:beforeLines="0" w:beforeAutospacing="0" w:after="290" w:afterLines="0" w:afterAutospacing="0" w:line="372" w:lineRule="auto"/>
      <w:ind w:left="1008" w:hanging="1008"/>
      <w:outlineLvl w:val="4"/>
    </w:pPr>
    <w:rPr>
      <w:rFonts w:eastAsia="宋体"/>
      <w:b/>
      <w:sz w:val="24"/>
    </w:rPr>
  </w:style>
  <w:style w:type="paragraph" w:styleId="8">
    <w:name w:val="heading 6"/>
    <w:basedOn w:val="1"/>
    <w:next w:val="1"/>
    <w:semiHidden/>
    <w:unhideWhenUsed/>
    <w:qFormat/>
    <w:uiPriority w:val="0"/>
    <w:pPr>
      <w:keepNext/>
      <w:keepLines/>
      <w:numPr>
        <w:ilvl w:val="5"/>
        <w:numId w:val="1"/>
      </w:numPr>
      <w:tabs>
        <w:tab w:val="left" w:pos="0"/>
      </w:tabs>
      <w:spacing w:before="240" w:beforeLines="0" w:beforeAutospacing="0" w:after="64" w:afterLines="0" w:afterAutospacing="0" w:line="317" w:lineRule="auto"/>
      <w:ind w:left="1151" w:hanging="1151"/>
      <w:outlineLvl w:val="5"/>
    </w:pPr>
    <w:rPr>
      <w:rFonts w:ascii="Arial" w:hAnsi="Arial" w:eastAsia="宋体"/>
      <w:b/>
      <w:sz w:val="24"/>
    </w:rPr>
  </w:style>
  <w:style w:type="paragraph" w:styleId="9">
    <w:name w:val="heading 7"/>
    <w:basedOn w:val="1"/>
    <w:next w:val="1"/>
    <w:semiHidden/>
    <w:unhideWhenUsed/>
    <w:qFormat/>
    <w:uiPriority w:val="0"/>
    <w:pPr>
      <w:keepNext/>
      <w:keepLines/>
      <w:numPr>
        <w:ilvl w:val="6"/>
        <w:numId w:val="1"/>
      </w:numPr>
      <w:tabs>
        <w:tab w:val="left" w:pos="0"/>
      </w:tabs>
      <w:spacing w:before="240" w:beforeLines="0" w:beforeAutospacing="0" w:after="64" w:afterLines="0" w:afterAutospacing="0" w:line="317" w:lineRule="auto"/>
      <w:ind w:left="1296" w:hanging="1296"/>
      <w:outlineLvl w:val="6"/>
    </w:pPr>
    <w:rPr>
      <w:rFonts w:eastAsia="宋体" w:asciiTheme="minorAscii" w:hAnsiTheme="minorAscii"/>
      <w:b/>
      <w:sz w:val="24"/>
    </w:rPr>
  </w:style>
  <w:style w:type="paragraph" w:styleId="10">
    <w:name w:val="heading 8"/>
    <w:basedOn w:val="1"/>
    <w:next w:val="1"/>
    <w:semiHidden/>
    <w:unhideWhenUsed/>
    <w:qFormat/>
    <w:uiPriority w:val="0"/>
    <w:pPr>
      <w:keepNext/>
      <w:keepLines/>
      <w:numPr>
        <w:ilvl w:val="7"/>
        <w:numId w:val="1"/>
      </w:numPr>
      <w:tabs>
        <w:tab w:val="left" w:pos="0"/>
      </w:tabs>
      <w:spacing w:before="240" w:beforeLines="0" w:beforeAutospacing="0" w:after="64" w:afterLines="0" w:afterAutospacing="0" w:line="317" w:lineRule="auto"/>
      <w:ind w:left="1440" w:hanging="1440"/>
      <w:outlineLvl w:val="7"/>
    </w:pPr>
    <w:rPr>
      <w:rFonts w:ascii="Arial" w:hAnsi="Arial" w:eastAsia="宋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5">
    <w:name w:val="Default Paragraph Font"/>
    <w:semiHidden/>
    <w:qFormat/>
    <w:uiPriority w:val="0"/>
  </w:style>
  <w:style w:type="table" w:default="1" w:styleId="14">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16">
    <w:name w:val="page number"/>
    <w:basedOn w:val="15"/>
    <w:qFormat/>
    <w:uiPriority w:val="0"/>
  </w:style>
  <w:style w:type="paragraph" w:customStyle="1" w:styleId="17">
    <w:name w:val=" Char"/>
    <w:basedOn w:val="1"/>
    <w:qFormat/>
    <w:uiPriority w:val="0"/>
    <w:pPr>
      <w:widowControl/>
      <w:spacing w:before="156" w:beforeLines="50" w:after="156" w:afterLines="50"/>
      <w:jc w:val="center"/>
    </w:pPr>
    <w:rPr>
      <w:rFonts w:ascii="黑体" w:hAnsi="宋体" w:eastAsia="黑体"/>
      <w:kern w:val="0"/>
      <w:szCs w:val="21"/>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1813</Words>
  <Characters>2561</Characters>
  <Lines>0</Lines>
  <Paragraphs>0</Paragraphs>
  <TotalTime>0</TotalTime>
  <ScaleCrop>false</ScaleCrop>
  <LinksUpToDate>false</LinksUpToDate>
  <CharactersWithSpaces>2810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2022-07-21T02:22:00Z</dcterms:created>
  <dc:creator>范儿。</dc:creator>
  <cp:lastModifiedBy>Administrator</cp:lastModifiedBy>
  <dcterms:modified xsi:type="dcterms:W3CDTF">2022-07-22T07:30:40Z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100CA9292F554C22886C9C803278AA33</vt:lpwstr>
  </property>
</Properties>
</file>