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sz w:val="36"/>
          <w:szCs w:val="36"/>
        </w:rPr>
      </w:pPr>
      <w:r>
        <w:rPr>
          <w:rFonts w:ascii="黑体" w:hAnsi="宋体" w:eastAsia="黑体" w:cs="黑体"/>
          <w:color w:val="000000"/>
          <w:kern w:val="0"/>
          <w:sz w:val="36"/>
          <w:szCs w:val="36"/>
          <w:lang w:val="en-US" w:eastAsia="zh-CN" w:bidi="ar"/>
        </w:rPr>
        <w:t>复混肥料产品质量省级监督抽查实施细则</w:t>
      </w:r>
    </w:p>
    <w:p>
      <w:pPr>
        <w:spacing w:line="560" w:lineRule="exact"/>
        <w:jc w:val="center"/>
        <w:rPr>
          <w:rFonts w:hint="default" w:ascii="宋体" w:hAnsi="宋体" w:cs="仿宋_GB2312"/>
          <w:b/>
          <w:bCs/>
          <w:color w:val="auto"/>
          <w:sz w:val="32"/>
          <w:szCs w:val="32"/>
          <w:lang w:val="en-US"/>
        </w:rPr>
      </w:pPr>
      <w:r>
        <w:rPr>
          <w:rFonts w:hint="eastAsia" w:ascii="黑体" w:hAnsi="黑体" w:eastAsia="黑体" w:cs="黑体"/>
          <w:color w:val="000000"/>
          <w:sz w:val="28"/>
          <w:szCs w:val="28"/>
          <w:lang w:val="en-US" w:eastAsia="zh-CN"/>
        </w:rPr>
        <w:t>GHJX-2022-23</w:t>
      </w:r>
      <w:bookmarkStart w:id="0" w:name="_GoBack"/>
      <w:bookmarkEnd w:id="0"/>
    </w:p>
    <w:p>
      <w:pPr>
        <w:spacing w:line="560" w:lineRule="exact"/>
        <w:rPr>
          <w:rFonts w:hint="eastAsia" w:ascii="宋体" w:hAnsi="宋体" w:cs="仿宋_GB2312"/>
          <w:b/>
          <w:bCs/>
          <w:color w:val="auto"/>
          <w:sz w:val="32"/>
          <w:szCs w:val="32"/>
        </w:rPr>
      </w:pPr>
      <w:r>
        <w:rPr>
          <w:rFonts w:hint="eastAsia" w:ascii="宋体" w:hAnsi="宋体" w:cs="仿宋_GB2312"/>
          <w:b/>
          <w:bCs/>
          <w:color w:val="auto"/>
          <w:sz w:val="32"/>
          <w:szCs w:val="32"/>
        </w:rPr>
        <w:t>1   抽样</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1</w:t>
      </w:r>
      <w:r>
        <w:rPr>
          <w:rFonts w:hint="eastAsia" w:ascii="宋体" w:hAnsi="宋体" w:cs="仿宋_GB2312"/>
          <w:b/>
          <w:color w:val="auto"/>
          <w:sz w:val="32"/>
          <w:szCs w:val="32"/>
        </w:rPr>
        <w:t xml:space="preserve">  抽样型号或规格</w:t>
      </w:r>
    </w:p>
    <w:p>
      <w:pPr>
        <w:spacing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产品种类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复合肥料。</w:t>
      </w:r>
    </w:p>
    <w:p>
      <w:pPr>
        <w:spacing w:line="560" w:lineRule="exact"/>
        <w:ind w:firstLine="640" w:firstLineChars="200"/>
        <w:rPr>
          <w:rFonts w:hint="eastAsia" w:ascii="宋体" w:hAnsi="宋体" w:cs="仿宋_GB2312"/>
          <w:b/>
          <w:color w:val="auto"/>
          <w:sz w:val="32"/>
          <w:szCs w:val="32"/>
        </w:rPr>
      </w:pPr>
      <w:r>
        <w:rPr>
          <w:rFonts w:hint="eastAsia" w:ascii="仿宋_GB2312" w:hAnsi="仿宋_GB2312" w:eastAsia="仿宋_GB2312" w:cs="仿宋_GB2312"/>
          <w:color w:val="auto"/>
          <w:sz w:val="32"/>
          <w:szCs w:val="32"/>
        </w:rPr>
        <w:t>抽取的样品应为同一型号规格的产品。应优先抽取企业主导产品。</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2</w:t>
      </w:r>
      <w:r>
        <w:rPr>
          <w:rFonts w:hint="eastAsia" w:ascii="宋体" w:hAnsi="宋体" w:cs="仿宋_GB2312"/>
          <w:b/>
          <w:color w:val="auto"/>
          <w:sz w:val="32"/>
          <w:szCs w:val="32"/>
        </w:rPr>
        <w:t xml:space="preserve">  抽样方法</w:t>
      </w:r>
      <w:r>
        <w:rPr>
          <w:rFonts w:hint="eastAsia" w:ascii="宋体" w:hAnsi="宋体" w:cs="仿宋_GB2312"/>
          <w:b/>
          <w:iCs/>
          <w:color w:val="auto"/>
          <w:sz w:val="32"/>
          <w:szCs w:val="32"/>
        </w:rPr>
        <w:t>、基数、</w:t>
      </w:r>
      <w:r>
        <w:rPr>
          <w:rFonts w:hint="eastAsia" w:ascii="宋体" w:hAnsi="宋体" w:cs="仿宋_GB2312"/>
          <w:b/>
          <w:color w:val="auto"/>
          <w:sz w:val="32"/>
          <w:szCs w:val="32"/>
        </w:rPr>
        <w:t>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.1 在生产企业成品仓库内或流通领域随机抽取经</w:t>
      </w:r>
      <w:r>
        <w:rPr>
          <w:rFonts w:hint="eastAsia" w:ascii="仿宋_GB2312" w:hAnsi="仿宋_GB2312" w:eastAsia="仿宋_GB2312" w:cs="仿宋_GB2312"/>
          <w:sz w:val="32"/>
          <w:szCs w:val="32"/>
        </w:rPr>
        <w:t>生产企业检验合格或以任何方式表明合格的待销产品。</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 在企业成品库内或市场上抽样时，抽样基数满足抽样数量即可。</w:t>
      </w:r>
    </w:p>
    <w:p>
      <w:pPr>
        <w:spacing w:line="56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 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复合肥料：样品缩分至 1000g 左右，分装在 2 个塑料瓶中，每瓶 500g 左右。1 瓶作为检验样品，另 1 瓶作为备用样品，封存于检验单位。</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3</w:t>
      </w:r>
      <w:r>
        <w:rPr>
          <w:rFonts w:hint="eastAsia" w:ascii="宋体" w:hAnsi="宋体" w:cs="仿宋_GB2312"/>
          <w:b/>
          <w:color w:val="auto"/>
          <w:sz w:val="32"/>
          <w:szCs w:val="32"/>
        </w:rPr>
        <w:t xml:space="preserve">  抽样注意事项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检验样品和备用样品分别包装封样，做好样品保护、防潮和签封措施，附合格证明。</w:t>
      </w:r>
    </w:p>
    <w:p>
      <w:pPr>
        <w:spacing w:line="560" w:lineRule="exact"/>
        <w:rPr>
          <w:rFonts w:hint="eastAsia" w:ascii="宋体" w:hAnsi="宋体" w:cs="仿宋_GB2312"/>
          <w:b/>
          <w:bCs/>
          <w:sz w:val="32"/>
          <w:szCs w:val="32"/>
        </w:rPr>
      </w:pPr>
      <w:r>
        <w:rPr>
          <w:rFonts w:hint="eastAsia" w:ascii="宋体" w:hAnsi="宋体" w:cs="仿宋_GB2312"/>
          <w:b/>
          <w:bCs/>
          <w:sz w:val="32"/>
          <w:szCs w:val="32"/>
        </w:rPr>
        <w:t>2  检验</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 xml:space="preserve">2.1 检验依据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3597 肥料中硝态氮含量的测定 氮试剂重量法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8572 复混肥料中总氮含量的测定 蒸馏后滴定法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8573 复混肥料中有效磷含量的测定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8574 复混肥料中钾含量的测定 四苯硼酸钾重量法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14540 复混肥料中铜、铁、锰、锌、硼、钼含量的测定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15063-2020 复合肥料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17767.1 有机-无机复混肥料的测定方法 第1部分：总氮含量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17767.3 有机-无机复混肥料的测定方法 第3部分：总钾含量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 18382-2001 肥料标识 内容和要求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 18382-2021 肥料标识 内容和要求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18877-2020 有机无机复混肥料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19203 复混肥料中钙、镁、硫含量的测定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21633-2020 掺混肥料（BB 肥）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22923 肥料中氮、磷、钾的自动分析仪测定法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22924 复混肥料（复合肥料）中缩二脲含量的测定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23349 肥料中砷、镉、铬、铅、汞含量的测定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24890 复混肥料中氯离子含量的测定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24891 复混肥料粒度的测定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34764 肥料中铜、铁、锰、锌、硼、钼含量的测定 等离子体发射光谱法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 38400-2019 肥料中有毒有害物质的限量要求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HG/T 4851-2016 硝基复合肥料8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HG/T 5046-2016 腐植酸复合肥料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NY/T 1116-2014 肥料 硝态氮、铵态氮、酰胺态氮含量的测定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NY/T 1972 水溶肥料 钠、硒、硅含量的测定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NY/T 1977 水溶肥料 总氮、磷、钾含量的测定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NY/T 2540 肥料 钾含量的测定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现行有效的企业标准、团体标准、地方标准及产品明示质量要求。</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2.2 检验项目</w:t>
      </w:r>
    </w:p>
    <w:p>
      <w:pPr>
        <w:autoSpaceDE w:val="0"/>
        <w:autoSpaceDN w:val="0"/>
        <w:adjustRightInd w:val="0"/>
        <w:snapToGrid w:val="0"/>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2.2.1  </w:t>
      </w:r>
      <w:r>
        <w:rPr>
          <w:rFonts w:hint="eastAsia" w:ascii="仿宋_GB2312" w:hAnsi="仿宋_GB2312" w:eastAsia="仿宋_GB2312" w:cs="仿宋_GB2312"/>
          <w:sz w:val="32"/>
          <w:szCs w:val="32"/>
          <w:lang w:val="en-US" w:eastAsia="zh-CN"/>
        </w:rPr>
        <w:t>复合肥料</w:t>
      </w:r>
      <w:r>
        <w:rPr>
          <w:rFonts w:hint="eastAsia" w:ascii="仿宋_GB2312" w:hAnsi="仿宋_GB2312" w:eastAsia="仿宋_GB2312" w:cs="仿宋_GB2312"/>
          <w:sz w:val="32"/>
          <w:szCs w:val="32"/>
        </w:rPr>
        <w:t>检验项目见表1</w:t>
      </w:r>
      <w:r>
        <w:rPr>
          <w:rFonts w:hint="eastAsia" w:ascii="宋体" w:hAnsi="宋体" w:cs="宋体"/>
          <w:sz w:val="32"/>
          <w:szCs w:val="32"/>
        </w:rPr>
        <w:t>。</w:t>
      </w:r>
    </w:p>
    <w:p>
      <w:pPr>
        <w:pStyle w:val="17"/>
        <w:spacing w:before="0" w:beforeLines="0" w:after="0" w:afterLines="0" w:line="560" w:lineRule="exact"/>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 xml:space="preserve">表1 </w:t>
      </w:r>
      <w:r>
        <w:rPr>
          <w:rFonts w:hint="eastAsia" w:ascii="仿宋_GB2312" w:hAnsi="仿宋_GB2312" w:eastAsia="仿宋_GB2312" w:cs="仿宋_GB2312"/>
          <w:b/>
          <w:bCs/>
          <w:sz w:val="28"/>
          <w:szCs w:val="28"/>
          <w:lang w:val="en-US" w:eastAsia="zh-CN"/>
        </w:rPr>
        <w:t>复合肥料</w:t>
      </w:r>
      <w:r>
        <w:rPr>
          <w:rFonts w:hint="eastAsia" w:ascii="仿宋_GB2312" w:hAnsi="仿宋_GB2312" w:eastAsia="仿宋_GB2312" w:cs="仿宋_GB2312"/>
          <w:b/>
          <w:bCs/>
          <w:sz w:val="28"/>
          <w:szCs w:val="28"/>
          <w:lang w:eastAsia="zh-CN"/>
        </w:rPr>
        <w:t>检验项目</w:t>
      </w:r>
    </w:p>
    <w:tbl>
      <w:tblPr>
        <w:tblStyle w:val="14"/>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448"/>
        <w:gridCol w:w="2955"/>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84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序号</w:t>
            </w:r>
          </w:p>
        </w:tc>
        <w:tc>
          <w:tcPr>
            <w:tcW w:w="2448"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检验项目</w:t>
            </w:r>
          </w:p>
        </w:tc>
        <w:tc>
          <w:tcPr>
            <w:tcW w:w="2955"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依据法律法规</w:t>
            </w:r>
          </w:p>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或标准</w:t>
            </w:r>
          </w:p>
        </w:tc>
        <w:tc>
          <w:tcPr>
            <w:tcW w:w="3069"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blHeader/>
          <w:jc w:val="center"/>
        </w:trPr>
        <w:tc>
          <w:tcPr>
            <w:tcW w:w="840"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c>
          <w:tcPr>
            <w:tcW w:w="2448"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2955"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3069"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1</w:t>
            </w:r>
          </w:p>
        </w:tc>
        <w:tc>
          <w:tcPr>
            <w:tcW w:w="2448"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N含量</w:t>
            </w:r>
          </w:p>
        </w:tc>
        <w:tc>
          <w:tcPr>
            <w:tcW w:w="2955"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17767.1-2010 </w:t>
            </w:r>
          </w:p>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22923-2007 </w:t>
            </w:r>
          </w:p>
          <w:p>
            <w:pPr>
              <w:spacing w:line="440" w:lineRule="exact"/>
              <w:jc w:val="center"/>
              <w:rPr>
                <w:rFonts w:hint="eastAsia" w:ascii="仿宋_GB2312" w:hAnsi="仿宋_GB2312" w:eastAsia="仿宋_GB2312" w:cs="仿宋_GB2312"/>
                <w:color w:val="auto"/>
                <w:sz w:val="28"/>
                <w:szCs w:val="28"/>
              </w:rPr>
            </w:pPr>
          </w:p>
        </w:tc>
        <w:tc>
          <w:tcPr>
            <w:tcW w:w="3069"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17767.1-2010 </w:t>
            </w:r>
          </w:p>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22923-2007 </w:t>
            </w:r>
          </w:p>
          <w:p>
            <w:pPr>
              <w:spacing w:line="440" w:lineRule="exact"/>
              <w:jc w:val="center"/>
              <w:rPr>
                <w:rFonts w:hint="default" w:ascii="仿宋_GB2312" w:hAnsi="仿宋" w:eastAsia="仿宋_GB2312" w:cs="仿宋"/>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c>
          <w:tcPr>
            <w:tcW w:w="2448"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P₂O₅含量</w:t>
            </w:r>
          </w:p>
        </w:tc>
        <w:tc>
          <w:tcPr>
            <w:tcW w:w="2955"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15063-2020 </w:t>
            </w:r>
          </w:p>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8573-2017  </w:t>
            </w:r>
          </w:p>
          <w:p>
            <w:pPr>
              <w:spacing w:line="440" w:lineRule="exact"/>
              <w:jc w:val="center"/>
              <w:rPr>
                <w:rFonts w:hint="eastAsia" w:ascii="仿宋_GB2312" w:hAnsi="仿宋_GB2312" w:eastAsia="仿宋_GB2312" w:cs="仿宋_GB2312"/>
                <w:color w:val="auto"/>
                <w:sz w:val="28"/>
                <w:szCs w:val="28"/>
              </w:rPr>
            </w:pPr>
          </w:p>
        </w:tc>
        <w:tc>
          <w:tcPr>
            <w:tcW w:w="3069"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15063-2020 </w:t>
            </w:r>
          </w:p>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c>
          <w:tcPr>
            <w:tcW w:w="2448"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K₂O含量</w:t>
            </w:r>
          </w:p>
        </w:tc>
        <w:tc>
          <w:tcPr>
            <w:tcW w:w="2955"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GB/T 17767.3-2010</w:t>
            </w:r>
          </w:p>
          <w:p>
            <w:pPr>
              <w:spacing w:line="440" w:lineRule="exact"/>
              <w:jc w:val="center"/>
              <w:rPr>
                <w:rFonts w:hint="eastAsia" w:ascii="仿宋_GB2312" w:hAnsi="仿宋_GB2312" w:eastAsia="仿宋_GB2312" w:cs="仿宋_GB2312"/>
                <w:color w:val="auto"/>
                <w:sz w:val="28"/>
                <w:szCs w:val="28"/>
              </w:rPr>
            </w:pPr>
          </w:p>
        </w:tc>
        <w:tc>
          <w:tcPr>
            <w:tcW w:w="3069"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GB/T 17767.3-2010</w:t>
            </w:r>
          </w:p>
          <w:p>
            <w:pPr>
              <w:spacing w:line="440" w:lineRule="exact"/>
              <w:jc w:val="center"/>
              <w:rPr>
                <w:rFonts w:hint="eastAsia" w:ascii="仿宋_GB2312" w:hAnsi="仿宋_GB2312" w:eastAsia="仿宋_GB2312" w:cs="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c>
          <w:tcPr>
            <w:tcW w:w="2448"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总养分（N+P₂O₅+K₂O）</w:t>
            </w:r>
          </w:p>
        </w:tc>
        <w:tc>
          <w:tcPr>
            <w:tcW w:w="2955"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GB/T 15063-2020</w:t>
            </w:r>
          </w:p>
          <w:p>
            <w:pPr>
              <w:spacing w:line="440" w:lineRule="exact"/>
              <w:jc w:val="center"/>
              <w:rPr>
                <w:rFonts w:hint="eastAsia" w:ascii="仿宋_GB2312" w:hAnsi="仿宋_GB2312" w:eastAsia="仿宋_GB2312" w:cs="仿宋_GB2312"/>
                <w:color w:val="auto"/>
                <w:sz w:val="28"/>
                <w:szCs w:val="28"/>
                <w:lang w:eastAsia="zh-CN"/>
              </w:rPr>
            </w:pPr>
          </w:p>
        </w:tc>
        <w:tc>
          <w:tcPr>
            <w:tcW w:w="3069"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GB/T 15063-2020</w:t>
            </w:r>
          </w:p>
          <w:p>
            <w:pPr>
              <w:spacing w:line="440" w:lineRule="exact"/>
              <w:jc w:val="center"/>
              <w:rPr>
                <w:rFonts w:hint="eastAsia" w:ascii="仿宋_GB2312" w:hAnsi="仿宋_GB2312" w:eastAsia="仿宋_GB2312" w:cs="仿宋_GB2312"/>
                <w:color w:val="auto"/>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c>
          <w:tcPr>
            <w:tcW w:w="2448"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氯离子</w:t>
            </w:r>
          </w:p>
        </w:tc>
        <w:tc>
          <w:tcPr>
            <w:tcW w:w="2955"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GB/T 18877-2020</w:t>
            </w:r>
          </w:p>
          <w:p>
            <w:pPr>
              <w:spacing w:line="440" w:lineRule="exact"/>
              <w:jc w:val="center"/>
              <w:rPr>
                <w:rFonts w:hint="eastAsia" w:ascii="仿宋_GB2312" w:hAnsi="仿宋_GB2312" w:eastAsia="仿宋_GB2312" w:cs="仿宋_GB2312"/>
                <w:color w:val="auto"/>
                <w:sz w:val="28"/>
                <w:szCs w:val="28"/>
                <w:lang w:val="en-US" w:eastAsia="zh-CN"/>
              </w:rPr>
            </w:pPr>
          </w:p>
        </w:tc>
        <w:tc>
          <w:tcPr>
            <w:tcW w:w="3069"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GB/T 18877-2020</w:t>
            </w:r>
          </w:p>
          <w:p>
            <w:pPr>
              <w:spacing w:line="440" w:lineRule="exact"/>
              <w:jc w:val="center"/>
              <w:rPr>
                <w:rFonts w:hint="eastAsia" w:ascii="仿宋_GB2312" w:hAnsi="仿宋_GB2312" w:eastAsia="仿宋_GB2312" w:cs="仿宋_GB2312"/>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6</w:t>
            </w:r>
          </w:p>
        </w:tc>
        <w:tc>
          <w:tcPr>
            <w:tcW w:w="2448" w:type="dxa"/>
            <w:noWrap w:val="0"/>
            <w:vAlign w:val="center"/>
          </w:tcPr>
          <w:p>
            <w:pPr>
              <w:spacing w:line="440" w:lineRule="exact"/>
              <w:jc w:val="center"/>
              <w:rPr>
                <w:rFonts w:hint="eastAsia" w:ascii="仿宋_GB2312" w:hAnsi="仿宋" w:eastAsia="仿宋_GB2312" w:cs="仿宋"/>
                <w:color w:val="auto"/>
                <w:sz w:val="28"/>
                <w:szCs w:val="28"/>
                <w:lang w:eastAsia="zh-CN"/>
              </w:rPr>
            </w:pPr>
            <w:r>
              <w:rPr>
                <w:rFonts w:hint="eastAsia" w:ascii="仿宋_GB2312" w:hAnsi="仿宋" w:eastAsia="仿宋_GB2312" w:cs="仿宋"/>
                <w:color w:val="auto"/>
                <w:sz w:val="28"/>
                <w:szCs w:val="28"/>
                <w:lang w:eastAsia="zh-CN"/>
              </w:rPr>
              <w:t>水溶性磷占有效磷百分率</w:t>
            </w:r>
          </w:p>
        </w:tc>
        <w:tc>
          <w:tcPr>
            <w:tcW w:w="2955"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GB/T 21633-2020</w:t>
            </w:r>
          </w:p>
          <w:p>
            <w:pPr>
              <w:spacing w:line="440" w:lineRule="exact"/>
              <w:jc w:val="center"/>
              <w:rPr>
                <w:rFonts w:hint="eastAsia" w:ascii="仿宋_GB2312" w:hAnsi="仿宋_GB2312" w:eastAsia="仿宋_GB2312" w:cs="仿宋_GB2312"/>
                <w:color w:val="auto"/>
                <w:sz w:val="28"/>
                <w:szCs w:val="28"/>
                <w:lang w:val="en-US" w:eastAsia="zh-CN"/>
              </w:rPr>
            </w:pPr>
          </w:p>
        </w:tc>
        <w:tc>
          <w:tcPr>
            <w:tcW w:w="3069"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GB/T 21633-2020</w:t>
            </w:r>
          </w:p>
          <w:p>
            <w:pPr>
              <w:spacing w:line="440" w:lineRule="exact"/>
              <w:jc w:val="center"/>
              <w:rPr>
                <w:rFonts w:hint="eastAsia" w:ascii="仿宋_GB2312" w:hAnsi="仿宋_GB2312" w:eastAsia="仿宋_GB2312" w:cs="仿宋_GB2312"/>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7</w:t>
            </w:r>
          </w:p>
        </w:tc>
        <w:tc>
          <w:tcPr>
            <w:tcW w:w="2448"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粒度（1.00 mm~4.75 mm或3.35 mm~5.60 mm）</w:t>
            </w:r>
          </w:p>
        </w:tc>
        <w:tc>
          <w:tcPr>
            <w:tcW w:w="2955"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GB/T 24891-2010</w:t>
            </w:r>
          </w:p>
          <w:p>
            <w:pPr>
              <w:spacing w:line="440" w:lineRule="exact"/>
              <w:jc w:val="center"/>
              <w:rPr>
                <w:rFonts w:hint="eastAsia" w:ascii="仿宋_GB2312" w:hAnsi="仿宋_GB2312" w:eastAsia="仿宋_GB2312" w:cs="仿宋_GB2312"/>
                <w:color w:val="auto"/>
                <w:sz w:val="28"/>
                <w:szCs w:val="28"/>
                <w:lang w:val="en-US" w:eastAsia="zh-CN"/>
              </w:rPr>
            </w:pPr>
          </w:p>
        </w:tc>
        <w:tc>
          <w:tcPr>
            <w:tcW w:w="3069"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GB/T 24891-2010</w:t>
            </w:r>
          </w:p>
          <w:p>
            <w:pPr>
              <w:spacing w:line="440" w:lineRule="exact"/>
              <w:jc w:val="center"/>
              <w:rPr>
                <w:rFonts w:hint="eastAsia" w:ascii="仿宋_GB2312" w:hAnsi="仿宋_GB2312" w:eastAsia="仿宋_GB2312" w:cs="仿宋_GB2312"/>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8</w:t>
            </w:r>
          </w:p>
        </w:tc>
        <w:tc>
          <w:tcPr>
            <w:tcW w:w="2448"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包装标识</w:t>
            </w:r>
          </w:p>
        </w:tc>
        <w:tc>
          <w:tcPr>
            <w:tcW w:w="2955"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15063-2020  </w:t>
            </w:r>
          </w:p>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 18382-2001  </w:t>
            </w:r>
          </w:p>
          <w:p>
            <w:pPr>
              <w:spacing w:line="440" w:lineRule="exact"/>
              <w:jc w:val="center"/>
              <w:rPr>
                <w:rFonts w:hint="eastAsia" w:ascii="仿宋_GB2312" w:hAnsi="仿宋_GB2312" w:eastAsia="仿宋_GB2312" w:cs="仿宋_GB2312"/>
                <w:color w:val="auto"/>
                <w:sz w:val="28"/>
                <w:szCs w:val="28"/>
                <w:lang w:val="en-US" w:eastAsia="zh-CN"/>
              </w:rPr>
            </w:pPr>
          </w:p>
        </w:tc>
        <w:tc>
          <w:tcPr>
            <w:tcW w:w="3069"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GB/T 15063-2020  </w:t>
            </w:r>
          </w:p>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GB 18382-2001 </w:t>
            </w:r>
          </w:p>
          <w:p>
            <w:pPr>
              <w:spacing w:line="440" w:lineRule="exact"/>
              <w:jc w:val="center"/>
              <w:rPr>
                <w:rFonts w:hint="eastAsia" w:ascii="仿宋_GB2312" w:hAnsi="仿宋_GB2312" w:eastAsia="仿宋_GB2312" w:cs="仿宋_GB2312"/>
                <w:color w:val="auto"/>
                <w:sz w:val="28"/>
                <w:szCs w:val="28"/>
                <w:lang w:val="en-US" w:eastAsia="zh-CN"/>
              </w:rPr>
            </w:pPr>
          </w:p>
        </w:tc>
      </w:tr>
    </w:tbl>
    <w:p>
      <w:pPr>
        <w:rPr>
          <w:rFonts w:hint="eastAsia" w:ascii="宋体" w:hAnsi="宋体" w:cs="仿宋_GB2312"/>
          <w:b/>
          <w:color w:val="auto"/>
          <w:sz w:val="32"/>
          <w:szCs w:val="32"/>
        </w:rPr>
      </w:pPr>
      <w:r>
        <w:rPr>
          <w:rFonts w:hint="eastAsia" w:ascii="宋体" w:hAnsi="宋体" w:cs="仿宋_GB2312"/>
          <w:b/>
          <w:color w:val="auto"/>
          <w:sz w:val="32"/>
          <w:szCs w:val="32"/>
        </w:rPr>
        <w:br w:type="page"/>
      </w:r>
    </w:p>
    <w:p>
      <w:pPr>
        <w:spacing w:line="560" w:lineRule="exact"/>
        <w:rPr>
          <w:rFonts w:hint="eastAsia" w:ascii="宋体" w:hAnsi="宋体" w:cs="仿宋_GB2312"/>
          <w:b/>
          <w:color w:val="000000"/>
          <w:sz w:val="32"/>
          <w:szCs w:val="32"/>
        </w:rPr>
      </w:pPr>
      <w:r>
        <w:rPr>
          <w:rFonts w:hint="eastAsia" w:ascii="宋体" w:hAnsi="宋体" w:cs="仿宋_GB2312"/>
          <w:b/>
          <w:color w:val="auto"/>
          <w:sz w:val="32"/>
          <w:szCs w:val="32"/>
        </w:rPr>
        <w:t>2.3  检验过程中需注意的问题</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CN"/>
        </w:rPr>
        <w:t>不宜复检</w:t>
      </w:r>
      <w:r>
        <w:rPr>
          <w:rFonts w:hint="eastAsia" w:ascii="仿宋_GB2312" w:hAnsi="仿宋_GB2312" w:eastAsia="仿宋_GB2312" w:cs="仿宋_GB2312"/>
          <w:color w:val="000000"/>
          <w:sz w:val="32"/>
          <w:szCs w:val="32"/>
          <w:lang w:val="en-US" w:eastAsia="zh-CN"/>
        </w:rPr>
        <w:t>情况</w:t>
      </w:r>
      <w:r>
        <w:rPr>
          <w:rFonts w:hint="eastAsia" w:ascii="仿宋_GB2312" w:hAnsi="仿宋_GB2312" w:eastAsia="仿宋_GB2312" w:cs="仿宋_GB2312"/>
          <w:color w:val="000000"/>
          <w:sz w:val="32"/>
          <w:szCs w:val="32"/>
          <w:lang w:val="zh-CN"/>
        </w:rPr>
        <w:t>：</w:t>
      </w:r>
      <w:r>
        <w:rPr>
          <w:rFonts w:hint="eastAsia" w:ascii="仿宋_GB2312" w:hAnsi="仿宋_GB2312" w:eastAsia="仿宋_GB2312" w:cs="仿宋_GB2312"/>
          <w:color w:val="000000"/>
          <w:sz w:val="32"/>
          <w:szCs w:val="32"/>
          <w:lang w:val="en-US" w:eastAsia="zh-CN"/>
        </w:rPr>
        <w:t>若检测过程中，检出微生物和菌群不合格</w:t>
      </w:r>
      <w:r>
        <w:rPr>
          <w:rFonts w:hint="eastAsia" w:ascii="仿宋_GB2312" w:hAnsi="仿宋_GB2312" w:eastAsia="仿宋_GB2312" w:cs="仿宋_GB2312"/>
          <w:color w:val="000000"/>
          <w:sz w:val="32"/>
          <w:szCs w:val="32"/>
          <w:lang w:val="zh-CN"/>
        </w:rPr>
        <w:t>，</w:t>
      </w:r>
      <w:r>
        <w:rPr>
          <w:rFonts w:hint="eastAsia" w:ascii="仿宋_GB2312" w:hAnsi="仿宋_GB2312" w:eastAsia="仿宋_GB2312" w:cs="仿宋_GB2312"/>
          <w:color w:val="000000"/>
          <w:sz w:val="32"/>
          <w:szCs w:val="32"/>
          <w:lang w:val="en-US" w:eastAsia="zh-CN"/>
        </w:rPr>
        <w:t>故</w:t>
      </w:r>
      <w:r>
        <w:rPr>
          <w:rFonts w:hint="eastAsia" w:ascii="仿宋_GB2312" w:hAnsi="仿宋_GB2312" w:eastAsia="仿宋_GB2312" w:cs="仿宋_GB2312"/>
          <w:color w:val="000000"/>
          <w:sz w:val="32"/>
          <w:szCs w:val="32"/>
        </w:rPr>
        <w:t>不对该项目进行复检。</w:t>
      </w:r>
    </w:p>
    <w:p>
      <w:pPr>
        <w:spacing w:line="560" w:lineRule="exact"/>
        <w:rPr>
          <w:rFonts w:hint="eastAsia" w:ascii="宋体" w:hAnsi="宋体" w:cs="仿宋_GB2312"/>
          <w:b/>
          <w:bCs/>
          <w:color w:val="000000"/>
          <w:sz w:val="32"/>
          <w:szCs w:val="32"/>
        </w:rPr>
      </w:pPr>
      <w:r>
        <w:rPr>
          <w:rFonts w:hint="eastAsia" w:ascii="宋体" w:hAnsi="宋体" w:cs="仿宋_GB2312"/>
          <w:b/>
          <w:bCs/>
          <w:color w:val="000000"/>
          <w:sz w:val="32"/>
          <w:szCs w:val="32"/>
        </w:rPr>
        <w:t>3 判定规则</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经检验，检验项目全部合格，判定为被抽查产品所检项目未发现不合格；检验项目中任一项或一项以上不合格，判定为被抽查产品不合格。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若被检产品明示的质量要求高于本细则中检验项目依据的标准要求时，应按被检产品明示的质量要求判定。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若被检产品明示的质量要求低于本细则中检验项目依据的强制性标准要求时，应按照强制性标准要求判定。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若被检产品明示的质量要求低于或包含本细则中检验项目依据的推荐性标准要求时，应以被检产品明示的质量要求判定。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若被检产品明示的质量要求缺少本细则中检验项目依据的强制性标准要求时，应按照强制性标准要求判定。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若被检产品明示的质量要求缺少本细则中检验项目依据的推荐性标准要求时，该项目不参与判定。</w:t>
      </w:r>
    </w:p>
    <w:p/>
    <w:sectPr>
      <w:headerReference r:id="rId3" w:type="default"/>
      <w:footerReference r:id="rId4" w:type="default"/>
      <w:pgSz w:w="11906" w:h="16838"/>
      <w:pgMar w:top="1440" w:right="1474" w:bottom="1440" w:left="158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jc w:val="right"/>
                          </w:pPr>
                          <w:r>
                            <w:rPr>
                              <w:rFonts w:ascii="宋体"/>
                            </w:rPr>
                            <w:fldChar w:fldCharType="begin"/>
                          </w:r>
                          <w:r>
                            <w:rPr>
                              <w:rStyle w:val="16"/>
                              <w:rFonts w:ascii="宋体" w:eastAsia="宋体"/>
                            </w:rPr>
                            <w:instrText xml:space="preserve"> PAGE </w:instrText>
                          </w:r>
                          <w:r>
                            <w:rPr>
                              <w:rFonts w:ascii="宋体"/>
                            </w:rPr>
                            <w:fldChar w:fldCharType="separate"/>
                          </w:r>
                          <w:r>
                            <w:rPr>
                              <w:rStyle w:val="16"/>
                              <w:rFonts w:ascii="宋体" w:eastAsia="宋体"/>
                            </w:rPr>
                            <w:t>15</w:t>
                          </w:r>
                          <w:r>
                            <w:rPr>
                              <w:rFonts w:asci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jc w:val="right"/>
                    </w:pPr>
                    <w:r>
                      <w:rPr>
                        <w:rFonts w:ascii="宋体"/>
                      </w:rPr>
                      <w:fldChar w:fldCharType="begin"/>
                    </w:r>
                    <w:r>
                      <w:rPr>
                        <w:rStyle w:val="16"/>
                        <w:rFonts w:ascii="宋体" w:eastAsia="宋体"/>
                      </w:rPr>
                      <w:instrText xml:space="preserve"> PAGE </w:instrText>
                    </w:r>
                    <w:r>
                      <w:rPr>
                        <w:rFonts w:ascii="宋体"/>
                      </w:rPr>
                      <w:fldChar w:fldCharType="separate"/>
                    </w:r>
                    <w:r>
                      <w:rPr>
                        <w:rStyle w:val="16"/>
                        <w:rFonts w:ascii="宋体" w:eastAsia="宋体"/>
                      </w:rPr>
                      <w:t>15</w:t>
                    </w:r>
                    <w:r>
                      <w:rPr>
                        <w:rFonts w:asci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8306"/>
      </w:tabs>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3438E"/>
    <w:multiLevelType w:val="multilevel"/>
    <w:tmpl w:val="AFE3438E"/>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mJhMjJmOTVhMWQ5ZDBjZWYwNWI0MzY4OTIyMGIifQ=="/>
  </w:docVars>
  <w:rsids>
    <w:rsidRoot w:val="02CA5547"/>
    <w:rsid w:val="02CA5547"/>
    <w:rsid w:val="08E2637E"/>
    <w:rsid w:val="0A655B52"/>
    <w:rsid w:val="11FB7A9F"/>
    <w:rsid w:val="15AC0694"/>
    <w:rsid w:val="1BCB6D01"/>
    <w:rsid w:val="3CB12016"/>
    <w:rsid w:val="4A0A1F04"/>
    <w:rsid w:val="4CCE4DC9"/>
    <w:rsid w:val="60EB0B04"/>
    <w:rsid w:val="6D603546"/>
    <w:rsid w:val="6E072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4">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6">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left="864" w:hanging="864"/>
      <w:outlineLvl w:val="3"/>
    </w:pPr>
    <w:rPr>
      <w:rFonts w:ascii="Arial" w:hAnsi="Arial" w:eastAsia="宋体"/>
      <w:b/>
      <w:sz w:val="24"/>
    </w:rPr>
  </w:style>
  <w:style w:type="paragraph" w:styleId="7">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left="1008" w:hanging="1008"/>
      <w:outlineLvl w:val="4"/>
    </w:pPr>
    <w:rPr>
      <w:rFonts w:eastAsia="宋体"/>
      <w:b/>
      <w:sz w:val="24"/>
    </w:rPr>
  </w:style>
  <w:style w:type="paragraph" w:styleId="8">
    <w:name w:val="heading 6"/>
    <w:basedOn w:val="1"/>
    <w:next w:val="1"/>
    <w:semiHidden/>
    <w:unhideWhenUsed/>
    <w:qFormat/>
    <w:uiPriority w:val="0"/>
    <w:pPr>
      <w:keepNext/>
      <w:keepLines/>
      <w:numPr>
        <w:ilvl w:val="5"/>
        <w:numId w:val="1"/>
      </w:numPr>
      <w:tabs>
        <w:tab w:val="left" w:pos="0"/>
      </w:tabs>
      <w:spacing w:before="240" w:beforeLines="0" w:beforeAutospacing="0" w:after="64" w:afterLines="0" w:afterAutospacing="0" w:line="317" w:lineRule="auto"/>
      <w:ind w:left="1151" w:hanging="1151"/>
      <w:outlineLvl w:val="5"/>
    </w:pPr>
    <w:rPr>
      <w:rFonts w:ascii="Arial" w:hAnsi="Arial" w:eastAsia="宋体"/>
      <w:b/>
      <w:sz w:val="24"/>
    </w:rPr>
  </w:style>
  <w:style w:type="paragraph" w:styleId="9">
    <w:name w:val="heading 7"/>
    <w:basedOn w:val="1"/>
    <w:next w:val="1"/>
    <w:semiHidden/>
    <w:unhideWhenUsed/>
    <w:qFormat/>
    <w:uiPriority w:val="0"/>
    <w:pPr>
      <w:keepNext/>
      <w:keepLines/>
      <w:numPr>
        <w:ilvl w:val="6"/>
        <w:numId w:val="1"/>
      </w:numPr>
      <w:tabs>
        <w:tab w:val="left" w:pos="0"/>
      </w:tabs>
      <w:spacing w:before="240" w:beforeLines="0" w:beforeAutospacing="0" w:after="64" w:afterLines="0" w:afterAutospacing="0" w:line="317" w:lineRule="auto"/>
      <w:ind w:left="1296" w:hanging="1296"/>
      <w:outlineLvl w:val="6"/>
    </w:pPr>
    <w:rPr>
      <w:rFonts w:eastAsia="宋体" w:asciiTheme="minorAscii" w:hAnsiTheme="minorAscii"/>
      <w:b/>
      <w:sz w:val="24"/>
    </w:rPr>
  </w:style>
  <w:style w:type="paragraph" w:styleId="10">
    <w:name w:val="heading 8"/>
    <w:basedOn w:val="1"/>
    <w:next w:val="1"/>
    <w:semiHidden/>
    <w:unhideWhenUsed/>
    <w:qFormat/>
    <w:uiPriority w:val="0"/>
    <w:pPr>
      <w:keepNext/>
      <w:keepLines/>
      <w:numPr>
        <w:ilvl w:val="7"/>
        <w:numId w:val="1"/>
      </w:numPr>
      <w:tabs>
        <w:tab w:val="left" w:pos="0"/>
      </w:tabs>
      <w:spacing w:before="240" w:beforeLines="0" w:beforeAutospacing="0" w:after="64" w:afterLines="0" w:afterAutospacing="0" w:line="317" w:lineRule="auto"/>
      <w:ind w:left="1440" w:hanging="1440"/>
      <w:outlineLvl w:val="7"/>
    </w:pPr>
    <w:rPr>
      <w:rFonts w:ascii="Arial" w:hAnsi="Arial" w:eastAsia="宋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6">
    <w:name w:val="page number"/>
    <w:basedOn w:val="15"/>
    <w:qFormat/>
    <w:uiPriority w:val="0"/>
  </w:style>
  <w:style w:type="paragraph" w:customStyle="1" w:styleId="17">
    <w:name w:val=" Char"/>
    <w:basedOn w:val="1"/>
    <w:qFormat/>
    <w:uiPriority w:val="0"/>
    <w:pPr>
      <w:widowControl/>
      <w:spacing w:before="156" w:beforeLines="50" w:after="156" w:afterLines="50"/>
      <w:jc w:val="center"/>
    </w:pPr>
    <w:rPr>
      <w:rFonts w:ascii="黑体" w:hAnsi="宋体" w:eastAsia="黑体"/>
      <w:kern w:val="0"/>
      <w:szCs w:val="21"/>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1232</Words>
  <Characters>1789</Characters>
  <Lines>0</Lines>
  <Paragraphs>0</Paragraphs>
  <TotalTime>0</TotalTime>
  <ScaleCrop>false</ScaleCrop>
  <LinksUpToDate>false</LinksUpToDate>
  <CharactersWithSpaces>1959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2022-07-20T06:11:00Z</dcterms:created>
  <dc:creator>范儿。</dc:creator>
  <cp:lastModifiedBy>Administrator</cp:lastModifiedBy>
  <dcterms:modified xsi:type="dcterms:W3CDTF">2022-07-22T07:30:48Z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FF7DA462B63847DF91DB987120D57778</vt:lpwstr>
  </property>
</Properties>
</file>