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宋体" w:hAnsi="宋体" w:cs="宋体"/>
          <w:b/>
          <w:bCs/>
          <w:color w:val="auto"/>
          <w:sz w:val="36"/>
          <w:szCs w:val="36"/>
        </w:rPr>
      </w:pPr>
      <w:r>
        <w:rPr>
          <w:rFonts w:ascii="黑体" w:hAnsi="黑体" w:eastAsia="黑体" w:cs="黑体"/>
          <w:spacing w:val="8"/>
          <w:sz w:val="36"/>
          <w:szCs w:val="36"/>
        </w:rPr>
        <w:t>农用薄膜产品质量省级监督抽查实施细则</w:t>
      </w:r>
    </w:p>
    <w:p>
      <w:pPr>
        <w:spacing w:line="560" w:lineRule="exact"/>
        <w:jc w:val="center"/>
        <w:rPr>
          <w:rFonts w:hint="default" w:ascii="宋体" w:hAnsi="宋体" w:cs="仿宋_GB2312"/>
          <w:b/>
          <w:bCs/>
          <w:color w:val="auto"/>
          <w:sz w:val="32"/>
          <w:szCs w:val="32"/>
          <w:lang w:val="en-US"/>
        </w:rPr>
      </w:pPr>
      <w:r>
        <w:rPr>
          <w:rFonts w:hint="eastAsia" w:ascii="黑体" w:hAnsi="黑体" w:eastAsia="黑体" w:cs="黑体"/>
          <w:color w:val="000000"/>
          <w:sz w:val="28"/>
          <w:szCs w:val="28"/>
          <w:lang w:val="en-US" w:eastAsia="zh-CN"/>
        </w:rPr>
        <w:t>GHJX-2022-25</w:t>
      </w:r>
      <w:bookmarkStart w:id="0" w:name="_GoBack"/>
      <w:bookmarkEnd w:id="0"/>
    </w:p>
    <w:p>
      <w:pPr>
        <w:spacing w:line="560" w:lineRule="exact"/>
        <w:rPr>
          <w:rFonts w:hint="eastAsia" w:ascii="宋体" w:hAnsi="宋体" w:cs="仿宋_GB2312"/>
          <w:b/>
          <w:bCs/>
          <w:color w:val="auto"/>
          <w:sz w:val="32"/>
          <w:szCs w:val="32"/>
        </w:rPr>
      </w:pPr>
      <w:r>
        <w:rPr>
          <w:rFonts w:hint="eastAsia" w:ascii="宋体" w:hAnsi="宋体" w:cs="仿宋_GB2312"/>
          <w:b/>
          <w:bCs/>
          <w:color w:val="auto"/>
          <w:sz w:val="32"/>
          <w:szCs w:val="32"/>
        </w:rPr>
        <w:t>1   抽样</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1</w:t>
      </w:r>
      <w:r>
        <w:rPr>
          <w:rFonts w:hint="eastAsia" w:ascii="宋体" w:hAnsi="宋体" w:cs="仿宋_GB2312"/>
          <w:b/>
          <w:color w:val="auto"/>
          <w:sz w:val="32"/>
          <w:szCs w:val="32"/>
        </w:rPr>
        <w:t xml:space="preserve">  抽样型号或规格</w:t>
      </w:r>
    </w:p>
    <w:p>
      <w:pPr>
        <w:spacing w:line="560" w:lineRule="exact"/>
        <w:ind w:firstLine="640" w:firstLineChars="200"/>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rPr>
        <w:t>产品种类</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农用薄膜</w:t>
      </w:r>
      <w:r>
        <w:rPr>
          <w:rFonts w:hint="eastAsia" w:ascii="仿宋_GB2312" w:hAnsi="仿宋_GB2312" w:eastAsia="仿宋_GB2312" w:cs="仿宋_GB2312"/>
          <w:color w:val="auto"/>
          <w:sz w:val="32"/>
          <w:szCs w:val="32"/>
        </w:rPr>
        <w:t>。</w:t>
      </w:r>
    </w:p>
    <w:p>
      <w:pPr>
        <w:spacing w:line="560" w:lineRule="exact"/>
        <w:ind w:firstLine="640" w:firstLineChars="200"/>
        <w:rPr>
          <w:rFonts w:hint="eastAsia" w:ascii="宋体" w:hAnsi="宋体" w:cs="仿宋_GB2312"/>
          <w:b/>
          <w:color w:val="auto"/>
          <w:sz w:val="32"/>
          <w:szCs w:val="32"/>
        </w:rPr>
      </w:pPr>
      <w:r>
        <w:rPr>
          <w:rFonts w:hint="eastAsia" w:ascii="仿宋_GB2312" w:hAnsi="仿宋_GB2312" w:eastAsia="仿宋_GB2312" w:cs="仿宋_GB2312"/>
          <w:color w:val="auto"/>
          <w:sz w:val="32"/>
          <w:szCs w:val="32"/>
        </w:rPr>
        <w:t>抽取的样品应为同一型号规格的产品。应优先抽取企业主导产品。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2</w:t>
      </w:r>
      <w:r>
        <w:rPr>
          <w:rFonts w:hint="eastAsia" w:ascii="宋体" w:hAnsi="宋体" w:cs="仿宋_GB2312"/>
          <w:b/>
          <w:color w:val="auto"/>
          <w:sz w:val="32"/>
          <w:szCs w:val="32"/>
        </w:rPr>
        <w:t xml:space="preserve">  抽样方法</w:t>
      </w:r>
      <w:r>
        <w:rPr>
          <w:rFonts w:hint="eastAsia" w:ascii="宋体" w:hAnsi="宋体" w:cs="仿宋_GB2312"/>
          <w:b/>
          <w:iCs/>
          <w:color w:val="auto"/>
          <w:sz w:val="32"/>
          <w:szCs w:val="32"/>
        </w:rPr>
        <w:t>、基数、</w:t>
      </w:r>
      <w:r>
        <w:rPr>
          <w:rFonts w:hint="eastAsia" w:ascii="宋体" w:hAnsi="宋体" w:cs="仿宋_GB2312"/>
          <w:b/>
          <w:color w:val="auto"/>
          <w:sz w:val="32"/>
          <w:szCs w:val="32"/>
        </w:rPr>
        <w:t>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.1  在生产企业成品仓库内或流通领域随机抽取经</w:t>
      </w:r>
      <w:r>
        <w:rPr>
          <w:rFonts w:hint="eastAsia" w:ascii="仿宋_GB2312" w:hAnsi="仿宋_GB2312" w:eastAsia="仿宋_GB2312" w:cs="仿宋_GB2312"/>
          <w:sz w:val="32"/>
          <w:szCs w:val="32"/>
        </w:rPr>
        <w:t>生产企业检验合格或以任何方式表明合格的待销产品。</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  在企业成品库内或市场上抽样时，抽样基数满足抽样数量即可。</w:t>
      </w:r>
    </w:p>
    <w:p>
      <w:pPr>
        <w:spacing w:before="61" w:line="221" w:lineRule="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  抽样数量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3.1</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农用薄膜</w:t>
      </w:r>
      <w:r>
        <w:rPr>
          <w:rFonts w:hint="eastAsia" w:ascii="仿宋_GB2312" w:hAnsi="仿宋_GB2312" w:eastAsia="仿宋_GB2312" w:cs="仿宋_GB2312"/>
          <w:sz w:val="32"/>
          <w:szCs w:val="32"/>
        </w:rPr>
        <w:t>：每批次产品抽取样品 2.5 ㎡×3 份，其中2 份作为检验样品， 1 份作为备用样品。</w:t>
      </w:r>
    </w:p>
    <w:p>
      <w:pPr>
        <w:spacing w:line="560" w:lineRule="exact"/>
        <w:rPr>
          <w:rFonts w:hint="eastAsia" w:ascii="宋体" w:hAnsi="宋体" w:cs="仿宋_GB2312"/>
          <w:b/>
          <w:color w:val="auto"/>
          <w:sz w:val="32"/>
          <w:szCs w:val="32"/>
        </w:rPr>
      </w:pPr>
      <w:r>
        <w:rPr>
          <w:rFonts w:hint="eastAsia" w:ascii="宋体" w:hAnsi="宋体" w:cs="仿宋_GB2312"/>
          <w:b/>
          <w:color w:val="auto"/>
          <w:sz w:val="32"/>
          <w:szCs w:val="32"/>
        </w:rPr>
        <w:t>1.</w:t>
      </w:r>
      <w:r>
        <w:rPr>
          <w:rFonts w:hint="eastAsia" w:ascii="宋体" w:hAnsi="宋体" w:cs="仿宋_GB2312"/>
          <w:b/>
          <w:color w:val="auto"/>
          <w:sz w:val="32"/>
          <w:szCs w:val="32"/>
          <w:lang w:val="en-US" w:eastAsia="zh-CN"/>
        </w:rPr>
        <w:t>3</w:t>
      </w:r>
      <w:r>
        <w:rPr>
          <w:rFonts w:hint="eastAsia" w:ascii="宋体" w:hAnsi="宋体" w:cs="仿宋_GB2312"/>
          <w:b/>
          <w:color w:val="auto"/>
          <w:sz w:val="32"/>
          <w:szCs w:val="32"/>
        </w:rPr>
        <w:t xml:space="preserve">  抽样注意事项</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检验样品和备用样品分别包装封样，做好样品保护、防潮和签封措施，附合格证明。</w:t>
      </w:r>
    </w:p>
    <w:p>
      <w:pPr>
        <w:spacing w:line="560" w:lineRule="exact"/>
        <w:rPr>
          <w:rFonts w:hint="eastAsia" w:ascii="宋体" w:hAnsi="宋体" w:cs="仿宋_GB2312"/>
          <w:b/>
          <w:bCs/>
          <w:sz w:val="32"/>
          <w:szCs w:val="32"/>
        </w:rPr>
      </w:pPr>
      <w:r>
        <w:rPr>
          <w:rFonts w:hint="eastAsia" w:ascii="宋体" w:hAnsi="宋体" w:cs="仿宋_GB2312"/>
          <w:b/>
          <w:bCs/>
          <w:sz w:val="32"/>
          <w:szCs w:val="32"/>
        </w:rPr>
        <w:t>2  检验</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 xml:space="preserve">2.1 检验依据 </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GB/T1040.3-2006 塑料拉伸性能的测定第 3 部分： 薄塑和薄片的试验条件</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4455-2019  农业用聚乙烯吹塑棚膜</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6672-2001 塑料薄膜和薄片厚度测定机械测量法</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 13735-2017  聚乙烯吹塑农用地面覆盖薄膜</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QB/T 1130-1991 塑料直角撕裂性能试验方法</w:t>
      </w:r>
    </w:p>
    <w:p>
      <w:pPr>
        <w:autoSpaceDE w:val="0"/>
        <w:autoSpaceDN w:val="0"/>
        <w:adjustRightInd w:val="0"/>
        <w:snapToGrid w:val="0"/>
        <w:spacing w:line="56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现行有效的企业标准、团体标准、地方标准及产品明示质量要求。</w:t>
      </w:r>
    </w:p>
    <w:p>
      <w:pPr>
        <w:pStyle w:val="17"/>
        <w:spacing w:before="0" w:beforeLines="0" w:after="0" w:afterLines="0" w:line="560" w:lineRule="exact"/>
        <w:jc w:val="both"/>
        <w:rPr>
          <w:rFonts w:hint="eastAsia" w:ascii="宋体" w:eastAsia="宋体" w:cs="仿宋_GB2312"/>
          <w:b/>
          <w:sz w:val="32"/>
          <w:szCs w:val="32"/>
          <w:lang w:eastAsia="zh-CN"/>
        </w:rPr>
      </w:pPr>
      <w:r>
        <w:rPr>
          <w:rFonts w:hint="eastAsia" w:ascii="宋体" w:eastAsia="宋体" w:cs="仿宋_GB2312"/>
          <w:b/>
          <w:sz w:val="32"/>
          <w:szCs w:val="32"/>
          <w:lang w:eastAsia="zh-CN"/>
        </w:rPr>
        <w:t>2.2 检验项目</w:t>
      </w:r>
    </w:p>
    <w:p>
      <w:pPr>
        <w:autoSpaceDE w:val="0"/>
        <w:autoSpaceDN w:val="0"/>
        <w:adjustRightInd w:val="0"/>
        <w:snapToGrid w:val="0"/>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2.2.1  </w:t>
      </w:r>
      <w:r>
        <w:rPr>
          <w:rFonts w:hint="eastAsia" w:ascii="仿宋_GB2312" w:hAnsi="仿宋_GB2312" w:eastAsia="仿宋_GB2312" w:cs="仿宋_GB2312"/>
          <w:sz w:val="32"/>
          <w:szCs w:val="32"/>
          <w:lang w:val="en-US" w:eastAsia="zh-CN"/>
        </w:rPr>
        <w:t>农用薄膜</w:t>
      </w:r>
      <w:r>
        <w:rPr>
          <w:rFonts w:hint="eastAsia" w:ascii="仿宋_GB2312" w:hAnsi="仿宋_GB2312" w:eastAsia="仿宋_GB2312" w:cs="仿宋_GB2312"/>
          <w:sz w:val="32"/>
          <w:szCs w:val="32"/>
        </w:rPr>
        <w:t>检验项目见表1</w:t>
      </w:r>
      <w:r>
        <w:rPr>
          <w:rFonts w:hint="eastAsia" w:ascii="宋体" w:hAnsi="宋体" w:cs="宋体"/>
          <w:sz w:val="32"/>
          <w:szCs w:val="32"/>
        </w:rPr>
        <w:t>。</w:t>
      </w:r>
    </w:p>
    <w:p>
      <w:pPr>
        <w:pStyle w:val="17"/>
        <w:spacing w:before="0" w:beforeLines="0" w:after="0" w:afterLines="0" w:line="560" w:lineRule="exact"/>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 xml:space="preserve">表1 </w:t>
      </w:r>
      <w:r>
        <w:rPr>
          <w:rFonts w:hint="eastAsia" w:ascii="仿宋_GB2312" w:hAnsi="仿宋_GB2312" w:eastAsia="仿宋_GB2312" w:cs="仿宋_GB2312"/>
          <w:b/>
          <w:bCs/>
          <w:sz w:val="28"/>
          <w:szCs w:val="28"/>
          <w:lang w:val="en-US" w:eastAsia="zh-CN"/>
        </w:rPr>
        <w:t>农用薄膜</w:t>
      </w:r>
      <w:r>
        <w:rPr>
          <w:rFonts w:hint="eastAsia" w:ascii="仿宋_GB2312" w:hAnsi="仿宋_GB2312" w:eastAsia="仿宋_GB2312" w:cs="仿宋_GB2312"/>
          <w:b/>
          <w:bCs/>
          <w:sz w:val="28"/>
          <w:szCs w:val="28"/>
          <w:lang w:eastAsia="zh-CN"/>
        </w:rPr>
        <w:t>检验项目</w:t>
      </w:r>
    </w:p>
    <w:tbl>
      <w:tblPr>
        <w:tblStyle w:val="14"/>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18"/>
        <w:gridCol w:w="3750"/>
        <w:gridCol w:w="2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84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序号</w:t>
            </w:r>
          </w:p>
        </w:tc>
        <w:tc>
          <w:tcPr>
            <w:tcW w:w="1818"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检验项目</w:t>
            </w:r>
          </w:p>
        </w:tc>
        <w:tc>
          <w:tcPr>
            <w:tcW w:w="3750"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依据法律法规</w:t>
            </w:r>
          </w:p>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或标准</w:t>
            </w:r>
          </w:p>
        </w:tc>
        <w:tc>
          <w:tcPr>
            <w:tcW w:w="2904" w:type="dxa"/>
            <w:vMerge w:val="restart"/>
            <w:noWrap w:val="0"/>
            <w:vAlign w:val="center"/>
          </w:tcPr>
          <w:p>
            <w:pPr>
              <w:adjustRightInd w:val="0"/>
              <w:snapToGrid w:val="0"/>
              <w:spacing w:line="276" w:lineRule="auto"/>
              <w:jc w:val="center"/>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0" w:hRule="atLeast"/>
          <w:tblHeader/>
          <w:jc w:val="center"/>
        </w:trPr>
        <w:tc>
          <w:tcPr>
            <w:tcW w:w="840"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c>
          <w:tcPr>
            <w:tcW w:w="1818"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3750" w:type="dxa"/>
            <w:vMerge w:val="continue"/>
            <w:noWrap w:val="0"/>
            <w:vAlign w:val="center"/>
          </w:tcPr>
          <w:p>
            <w:pPr>
              <w:adjustRightInd w:val="0"/>
              <w:snapToGrid w:val="0"/>
              <w:spacing w:line="276" w:lineRule="auto"/>
              <w:rPr>
                <w:rFonts w:hint="eastAsia" w:ascii="仿宋_GB2312" w:hAnsi="仿宋_GB2312" w:eastAsia="仿宋_GB2312" w:cs="仿宋_GB2312"/>
                <w:color w:val="auto"/>
                <w:sz w:val="28"/>
                <w:szCs w:val="28"/>
              </w:rPr>
            </w:pPr>
          </w:p>
        </w:tc>
        <w:tc>
          <w:tcPr>
            <w:tcW w:w="2904" w:type="dxa"/>
            <w:vMerge w:val="continue"/>
            <w:noWrap w:val="0"/>
            <w:vAlign w:val="center"/>
          </w:tcPr>
          <w:p>
            <w:pPr>
              <w:adjustRightInd w:val="0"/>
              <w:snapToGrid w:val="0"/>
              <w:spacing w:line="276" w:lineRule="auto"/>
              <w:jc w:val="center"/>
              <w:rPr>
                <w:rFonts w:hint="eastAsia" w:ascii="仿宋_GB2312" w:hAnsi="仿宋_GB2312" w:eastAsia="仿宋_GB2312" w:cs="仿宋_GB2312"/>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1</w:t>
            </w:r>
          </w:p>
        </w:tc>
        <w:tc>
          <w:tcPr>
            <w:tcW w:w="1818"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 w:eastAsia="仿宋_GB2312" w:cs="仿宋"/>
                <w:color w:val="auto"/>
                <w:sz w:val="28"/>
                <w:szCs w:val="28"/>
              </w:rPr>
              <w:t>外观</w:t>
            </w: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2</w:t>
            </w:r>
          </w:p>
        </w:tc>
        <w:tc>
          <w:tcPr>
            <w:tcW w:w="1818" w:type="dxa"/>
            <w:noWrap w:val="0"/>
            <w:vAlign w:val="center"/>
          </w:tcPr>
          <w:p>
            <w:pPr>
              <w:spacing w:line="440" w:lineRule="exact"/>
              <w:jc w:val="center"/>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厚度</w:t>
            </w: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w:t>
            </w:r>
          </w:p>
        </w:tc>
        <w:tc>
          <w:tcPr>
            <w:tcW w:w="181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厚度偏差</w:t>
            </w: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w:t>
            </w:r>
          </w:p>
        </w:tc>
        <w:tc>
          <w:tcPr>
            <w:tcW w:w="181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val="en-US" w:eastAsia="zh-CN"/>
              </w:rPr>
              <w:t>宽度极限偏差</w:t>
            </w: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5</w:t>
            </w:r>
          </w:p>
        </w:tc>
        <w:tc>
          <w:tcPr>
            <w:tcW w:w="1818" w:type="dxa"/>
            <w:noWrap w:val="0"/>
            <w:vAlign w:val="center"/>
          </w:tcPr>
          <w:p>
            <w:pPr>
              <w:spacing w:line="440" w:lineRule="exact"/>
              <w:jc w:val="center"/>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lang w:eastAsia="zh-CN"/>
              </w:rPr>
              <w:t>拉伸负荷（横向）</w:t>
            </w:r>
          </w:p>
        </w:tc>
        <w:tc>
          <w:tcPr>
            <w:tcW w:w="3750"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6</w:t>
            </w:r>
          </w:p>
        </w:tc>
        <w:tc>
          <w:tcPr>
            <w:tcW w:w="1818" w:type="dxa"/>
            <w:noWrap w:val="0"/>
            <w:vAlign w:val="center"/>
          </w:tcPr>
          <w:p>
            <w:pPr>
              <w:spacing w:line="440" w:lineRule="exact"/>
              <w:jc w:val="center"/>
              <w:rPr>
                <w:rFonts w:hint="eastAsia" w:ascii="仿宋_GB2312" w:hAnsi="仿宋" w:eastAsia="仿宋_GB2312" w:cs="仿宋"/>
                <w:color w:val="auto"/>
                <w:sz w:val="28"/>
                <w:szCs w:val="28"/>
                <w:lang w:eastAsia="zh-CN"/>
              </w:rPr>
            </w:pPr>
            <w:r>
              <w:rPr>
                <w:rFonts w:hint="eastAsia" w:ascii="仿宋_GB2312" w:hAnsi="仿宋" w:eastAsia="仿宋_GB2312" w:cs="仿宋"/>
                <w:color w:val="auto"/>
                <w:sz w:val="28"/>
                <w:szCs w:val="28"/>
                <w:lang w:eastAsia="zh-CN"/>
              </w:rPr>
              <w:t>拉伸负荷（纵向）</w:t>
            </w: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7</w:t>
            </w:r>
          </w:p>
        </w:tc>
        <w:tc>
          <w:tcPr>
            <w:tcW w:w="181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断裂标称应变（横向）</w:t>
            </w: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8</w:t>
            </w:r>
          </w:p>
        </w:tc>
        <w:tc>
          <w:tcPr>
            <w:tcW w:w="181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断裂标称应变（纵向）</w:t>
            </w: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9</w:t>
            </w:r>
          </w:p>
        </w:tc>
        <w:tc>
          <w:tcPr>
            <w:tcW w:w="181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直角撕裂负荷（横向）</w:t>
            </w: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840" w:type="dxa"/>
            <w:noWrap w:val="0"/>
            <w:vAlign w:val="center"/>
          </w:tcPr>
          <w:p>
            <w:pPr>
              <w:spacing w:line="440" w:lineRule="exact"/>
              <w:jc w:val="center"/>
              <w:rPr>
                <w:rFonts w:hint="default"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10</w:t>
            </w:r>
          </w:p>
        </w:tc>
        <w:tc>
          <w:tcPr>
            <w:tcW w:w="1818"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 w:eastAsia="仿宋_GB2312" w:cs="仿宋"/>
                <w:color w:val="auto"/>
                <w:sz w:val="28"/>
                <w:szCs w:val="28"/>
              </w:rPr>
              <w:t>直角撕裂负荷（纵向）</w:t>
            </w:r>
          </w:p>
        </w:tc>
        <w:tc>
          <w:tcPr>
            <w:tcW w:w="3750" w:type="dxa"/>
            <w:noWrap w:val="0"/>
            <w:vAlign w:val="center"/>
          </w:tcPr>
          <w:p>
            <w:pPr>
              <w:spacing w:line="440" w:lineRule="exact"/>
              <w:jc w:val="center"/>
              <w:rPr>
                <w:rFonts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c>
          <w:tcPr>
            <w:tcW w:w="2904" w:type="dxa"/>
            <w:noWrap w:val="0"/>
            <w:vAlign w:val="center"/>
          </w:tcPr>
          <w:p>
            <w:pPr>
              <w:spacing w:line="440" w:lineRule="exact"/>
              <w:jc w:val="center"/>
              <w:rPr>
                <w:rFonts w:hint="eastAsia" w:ascii="仿宋_GB2312" w:hAnsi="仿宋" w:eastAsia="仿宋_GB2312" w:cs="仿宋"/>
                <w:color w:val="auto"/>
                <w:sz w:val="28"/>
                <w:szCs w:val="28"/>
              </w:rPr>
            </w:pPr>
            <w:r>
              <w:rPr>
                <w:rFonts w:hint="eastAsia" w:ascii="仿宋_GB2312" w:hAnsi="仿宋_GB2312" w:eastAsia="仿宋_GB2312" w:cs="仿宋_GB2312"/>
                <w:sz w:val="32"/>
                <w:szCs w:val="32"/>
              </w:rPr>
              <w:t>GB 13735-2017</w:t>
            </w:r>
          </w:p>
        </w:tc>
      </w:tr>
    </w:tbl>
    <w:p>
      <w:pPr>
        <w:rPr>
          <w:rFonts w:hint="eastAsia" w:ascii="宋体" w:hAnsi="宋体" w:cs="仿宋_GB2312"/>
          <w:b/>
          <w:color w:val="auto"/>
          <w:sz w:val="32"/>
          <w:szCs w:val="32"/>
        </w:rPr>
      </w:pPr>
      <w:r>
        <w:rPr>
          <w:rFonts w:hint="eastAsia" w:ascii="宋体" w:hAnsi="宋体" w:cs="仿宋_GB2312"/>
          <w:b/>
          <w:color w:val="auto"/>
          <w:sz w:val="32"/>
          <w:szCs w:val="32"/>
        </w:rPr>
        <w:br w:type="page"/>
      </w:r>
    </w:p>
    <w:p>
      <w:pPr>
        <w:spacing w:line="560" w:lineRule="exact"/>
        <w:rPr>
          <w:rFonts w:hint="eastAsia" w:ascii="宋体" w:hAnsi="宋体" w:cs="仿宋_GB2312"/>
          <w:b/>
          <w:color w:val="000000"/>
          <w:sz w:val="32"/>
          <w:szCs w:val="32"/>
        </w:rPr>
      </w:pPr>
      <w:r>
        <w:rPr>
          <w:rFonts w:hint="eastAsia" w:ascii="宋体" w:hAnsi="宋体" w:cs="仿宋_GB2312"/>
          <w:b/>
          <w:color w:val="auto"/>
          <w:sz w:val="32"/>
          <w:szCs w:val="32"/>
        </w:rPr>
        <w:t>2.3  检验过程中需注意的问题</w:t>
      </w:r>
    </w:p>
    <w:p>
      <w:pPr>
        <w:spacing w:line="560" w:lineRule="exact"/>
        <w:ind w:firstLine="640" w:firstLineChars="200"/>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lang w:val="zh-CN"/>
        </w:rPr>
        <w:t>不宜复检</w:t>
      </w:r>
      <w:r>
        <w:rPr>
          <w:rFonts w:hint="eastAsia" w:ascii="仿宋_GB2312" w:hAnsi="仿宋_GB2312" w:eastAsia="仿宋_GB2312" w:cs="仿宋_GB2312"/>
          <w:color w:val="000000"/>
          <w:sz w:val="32"/>
          <w:szCs w:val="32"/>
          <w:highlight w:val="none"/>
          <w:lang w:val="en-US" w:eastAsia="zh-CN"/>
        </w:rPr>
        <w:t>情况</w:t>
      </w:r>
      <w:r>
        <w:rPr>
          <w:rFonts w:hint="eastAsia" w:ascii="仿宋_GB2312" w:hAnsi="仿宋_GB2312" w:eastAsia="仿宋_GB2312" w:cs="仿宋_GB2312"/>
          <w:color w:val="000000"/>
          <w:sz w:val="32"/>
          <w:szCs w:val="32"/>
          <w:highlight w:val="none"/>
          <w:lang w:val="zh-CN"/>
        </w:rPr>
        <w:t>：</w:t>
      </w:r>
      <w:r>
        <w:rPr>
          <w:rFonts w:hint="eastAsia" w:ascii="仿宋_GB2312" w:hAnsi="仿宋_GB2312" w:eastAsia="仿宋_GB2312" w:cs="仿宋_GB2312"/>
          <w:color w:val="000000"/>
          <w:sz w:val="32"/>
          <w:szCs w:val="32"/>
          <w:highlight w:val="none"/>
          <w:lang w:val="en-US" w:eastAsia="zh-CN"/>
        </w:rPr>
        <w:t>若备样样品被损毁</w:t>
      </w:r>
      <w:r>
        <w:rPr>
          <w:rFonts w:hint="eastAsia" w:ascii="仿宋_GB2312" w:hAnsi="仿宋_GB2312" w:eastAsia="仿宋_GB2312" w:cs="仿宋_GB2312"/>
          <w:color w:val="000000"/>
          <w:sz w:val="32"/>
          <w:szCs w:val="32"/>
          <w:highlight w:val="none"/>
          <w:lang w:val="zh-CN"/>
        </w:rPr>
        <w:t>，故</w:t>
      </w:r>
      <w:r>
        <w:rPr>
          <w:rFonts w:hint="eastAsia" w:ascii="仿宋_GB2312" w:hAnsi="仿宋_GB2312" w:eastAsia="仿宋_GB2312" w:cs="仿宋_GB2312"/>
          <w:color w:val="000000"/>
          <w:sz w:val="32"/>
          <w:szCs w:val="32"/>
          <w:highlight w:val="none"/>
        </w:rPr>
        <w:t>不对该项目进行复检。</w:t>
      </w:r>
    </w:p>
    <w:p>
      <w:pPr>
        <w:spacing w:line="560" w:lineRule="exact"/>
        <w:rPr>
          <w:rFonts w:hint="eastAsia" w:ascii="宋体" w:hAnsi="宋体" w:cs="仿宋_GB2312"/>
          <w:b/>
          <w:bCs/>
          <w:color w:val="000000"/>
          <w:sz w:val="32"/>
          <w:szCs w:val="32"/>
        </w:rPr>
      </w:pPr>
      <w:r>
        <w:rPr>
          <w:rFonts w:hint="eastAsia" w:ascii="宋体" w:hAnsi="宋体" w:cs="仿宋_GB2312"/>
          <w:b/>
          <w:bCs/>
          <w:color w:val="000000"/>
          <w:sz w:val="32"/>
          <w:szCs w:val="32"/>
        </w:rPr>
        <w:t>3 判定规则</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经检验，检验项目全部合格，判定为被抽查产品合格；检验项目中任一项或一项以上不合格， 判定为被抽查产品不合格。</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若被检产品明示的质量要求高于本细则中检验项目依据的标准要求时，应按被检产品明示的质量要求判定。</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若被检产品明示的质量要求低于本细则中检验项目依据的强制性标准要求时，应按照强制性标准要求判定。</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若被检产品明示的质量要求低于或包含本细则中检验项目依据的推荐性标准要求时，应以被检产品明示的质量要求判定。</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若被检产品明示的质量要求缺少本细则中检验项目依据的强制性标准要求时，应按照强制性标准要求判定。</w:t>
      </w:r>
    </w:p>
    <w:p>
      <w:pPr>
        <w:spacing w:line="560" w:lineRule="exact"/>
        <w:ind w:firstLine="640" w:firstLineChars="200"/>
        <w:rPr>
          <w:rFonts w:hint="eastAsia" w:ascii="仿宋_GB2312" w:hAnsi="仿宋_GB2312" w:eastAsia="仿宋_GB2312" w:cs="仿宋_GB2312"/>
          <w:color w:val="000000"/>
          <w:sz w:val="32"/>
          <w:szCs w:val="32"/>
          <w:lang w:val="zh-CN"/>
        </w:rPr>
      </w:pPr>
      <w:r>
        <w:rPr>
          <w:rFonts w:hint="eastAsia" w:ascii="仿宋_GB2312" w:hAnsi="仿宋_GB2312" w:eastAsia="仿宋_GB2312" w:cs="仿宋_GB2312"/>
          <w:color w:val="000000"/>
          <w:sz w:val="32"/>
          <w:szCs w:val="32"/>
          <w:lang w:val="zh-CN"/>
        </w:rPr>
        <w:t>若被检产品明示的质量要求缺少本细则中检验项目依据的推荐性标准要求时，该项目不参与判定。</w:t>
      </w:r>
    </w:p>
    <w:p>
      <w:pPr>
        <w:widowControl/>
        <w:shd w:val="clear" w:color="auto" w:fill="FFFFFF"/>
        <w:spacing w:line="560" w:lineRule="exact"/>
        <w:ind w:firstLine="636"/>
        <w:rPr>
          <w:rFonts w:hint="eastAsia" w:ascii="仿宋_GB2312" w:hAnsi="仿宋_GB2312" w:eastAsia="仿宋_GB2312" w:cs="仿宋_GB2312"/>
          <w:sz w:val="32"/>
          <w:szCs w:val="32"/>
        </w:rPr>
      </w:pPr>
    </w:p>
    <w:p/>
    <w:sectPr>
      <w:headerReference r:id="rId3" w:type="default"/>
      <w:footerReference r:id="rId4" w:type="default"/>
      <w:pgSz w:w="11906" w:h="16838"/>
      <w:pgMar w:top="1440" w:right="1474" w:bottom="1440" w:left="1587"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8306"/>
      </w:tabs>
      <w:jc w:val="both"/>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E3438E"/>
    <w:multiLevelType w:val="multilevel"/>
    <w:tmpl w:val="AFE3438E"/>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rPr>
    </w:lvl>
    <w:lvl w:ilvl="2" w:tentative="0">
      <w:start w:val="1"/>
      <w:numFmt w:val="decimal"/>
      <w:pStyle w:val="5"/>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mJhMjJmOTVhMWQ5ZDBjZWYwNWI0MzY4OTIyMGIifQ=="/>
  </w:docVars>
  <w:rsids>
    <w:rsidRoot w:val="7AB475CC"/>
    <w:rsid w:val="030A7CCD"/>
    <w:rsid w:val="08E2637E"/>
    <w:rsid w:val="11FB7A9F"/>
    <w:rsid w:val="15AC0694"/>
    <w:rsid w:val="1BCB6D01"/>
    <w:rsid w:val="3CB12016"/>
    <w:rsid w:val="60EB0B04"/>
    <w:rsid w:val="66252083"/>
    <w:rsid w:val="6D603546"/>
    <w:rsid w:val="72EC3564"/>
    <w:rsid w:val="7AB4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4">
    <w:name w:val="heading 2"/>
    <w:basedOn w:val="1"/>
    <w:next w:val="1"/>
    <w:semiHidden/>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b/>
      <w:sz w:val="32"/>
    </w:rPr>
  </w:style>
  <w:style w:type="paragraph" w:styleId="5">
    <w:name w:val="heading 3"/>
    <w:basedOn w:val="1"/>
    <w:next w:val="1"/>
    <w:semiHidden/>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6">
    <w:name w:val="heading 4"/>
    <w:basedOn w:val="1"/>
    <w:next w:val="1"/>
    <w:semiHidden/>
    <w:unhideWhenUsed/>
    <w:qFormat/>
    <w:uiPriority w:val="0"/>
    <w:pPr>
      <w:keepNext/>
      <w:keepLines/>
      <w:numPr>
        <w:ilvl w:val="3"/>
        <w:numId w:val="1"/>
      </w:numPr>
      <w:tabs>
        <w:tab w:val="left" w:pos="0"/>
      </w:tabs>
      <w:spacing w:before="280" w:beforeLines="0" w:beforeAutospacing="0" w:after="290" w:afterLines="0" w:afterAutospacing="0" w:line="372" w:lineRule="auto"/>
      <w:ind w:left="864" w:hanging="864"/>
      <w:outlineLvl w:val="3"/>
    </w:pPr>
    <w:rPr>
      <w:rFonts w:ascii="Arial" w:hAnsi="Arial" w:eastAsia="宋体"/>
      <w:b/>
      <w:sz w:val="24"/>
    </w:rPr>
  </w:style>
  <w:style w:type="paragraph" w:styleId="7">
    <w:name w:val="heading 5"/>
    <w:basedOn w:val="1"/>
    <w:next w:val="1"/>
    <w:semiHidden/>
    <w:unhideWhenUsed/>
    <w:qFormat/>
    <w:uiPriority w:val="0"/>
    <w:pPr>
      <w:keepNext/>
      <w:keepLines/>
      <w:numPr>
        <w:ilvl w:val="4"/>
        <w:numId w:val="1"/>
      </w:numPr>
      <w:tabs>
        <w:tab w:val="left" w:pos="0"/>
      </w:tabs>
      <w:spacing w:before="280" w:beforeLines="0" w:beforeAutospacing="0" w:after="290" w:afterLines="0" w:afterAutospacing="0" w:line="372" w:lineRule="auto"/>
      <w:ind w:left="1008" w:hanging="1008"/>
      <w:outlineLvl w:val="4"/>
    </w:pPr>
    <w:rPr>
      <w:rFonts w:eastAsia="宋体"/>
      <w:b/>
      <w:sz w:val="24"/>
    </w:rPr>
  </w:style>
  <w:style w:type="paragraph" w:styleId="8">
    <w:name w:val="heading 6"/>
    <w:basedOn w:val="1"/>
    <w:next w:val="1"/>
    <w:semiHidden/>
    <w:unhideWhenUsed/>
    <w:qFormat/>
    <w:uiPriority w:val="0"/>
    <w:pPr>
      <w:keepNext/>
      <w:keepLines/>
      <w:numPr>
        <w:ilvl w:val="5"/>
        <w:numId w:val="1"/>
      </w:numPr>
      <w:tabs>
        <w:tab w:val="left" w:pos="0"/>
      </w:tabs>
      <w:spacing w:before="240" w:beforeLines="0" w:beforeAutospacing="0" w:after="64" w:afterLines="0" w:afterAutospacing="0" w:line="317" w:lineRule="auto"/>
      <w:ind w:left="1151" w:hanging="1151"/>
      <w:outlineLvl w:val="5"/>
    </w:pPr>
    <w:rPr>
      <w:rFonts w:ascii="Arial" w:hAnsi="Arial" w:eastAsia="宋体"/>
      <w:b/>
      <w:sz w:val="24"/>
    </w:rPr>
  </w:style>
  <w:style w:type="paragraph" w:styleId="9">
    <w:name w:val="heading 7"/>
    <w:basedOn w:val="1"/>
    <w:next w:val="1"/>
    <w:semiHidden/>
    <w:unhideWhenUsed/>
    <w:qFormat/>
    <w:uiPriority w:val="0"/>
    <w:pPr>
      <w:keepNext/>
      <w:keepLines/>
      <w:numPr>
        <w:ilvl w:val="6"/>
        <w:numId w:val="1"/>
      </w:numPr>
      <w:tabs>
        <w:tab w:val="left" w:pos="0"/>
      </w:tabs>
      <w:spacing w:before="240" w:beforeLines="0" w:beforeAutospacing="0" w:after="64" w:afterLines="0" w:afterAutospacing="0" w:line="317" w:lineRule="auto"/>
      <w:ind w:left="1296" w:hanging="1296"/>
      <w:outlineLvl w:val="6"/>
    </w:pPr>
    <w:rPr>
      <w:rFonts w:eastAsia="宋体" w:asciiTheme="minorAscii" w:hAnsiTheme="minorAscii"/>
      <w:b/>
      <w:sz w:val="24"/>
    </w:rPr>
  </w:style>
  <w:style w:type="paragraph" w:styleId="10">
    <w:name w:val="heading 8"/>
    <w:basedOn w:val="1"/>
    <w:next w:val="1"/>
    <w:semiHidden/>
    <w:unhideWhenUsed/>
    <w:qFormat/>
    <w:uiPriority w:val="0"/>
    <w:pPr>
      <w:keepNext/>
      <w:keepLines/>
      <w:numPr>
        <w:ilvl w:val="7"/>
        <w:numId w:val="1"/>
      </w:numPr>
      <w:tabs>
        <w:tab w:val="left" w:pos="0"/>
      </w:tabs>
      <w:spacing w:before="240" w:beforeLines="0" w:beforeAutospacing="0" w:after="64" w:afterLines="0" w:afterAutospacing="0" w:line="317" w:lineRule="auto"/>
      <w:ind w:left="1440" w:hanging="1440"/>
      <w:outlineLvl w:val="7"/>
    </w:pPr>
    <w:rPr>
      <w:rFonts w:ascii="Arial" w:hAnsi="Arial" w:eastAsia="宋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6">
    <w:name w:val="page number"/>
    <w:basedOn w:val="15"/>
    <w:qFormat/>
    <w:uiPriority w:val="0"/>
  </w:style>
  <w:style w:type="paragraph" w:customStyle="1" w:styleId="17">
    <w:name w:val=" Char"/>
    <w:basedOn w:val="1"/>
    <w:qFormat/>
    <w:uiPriority w:val="0"/>
    <w:pPr>
      <w:widowControl/>
      <w:spacing w:before="156" w:beforeLines="50" w:after="156" w:afterLines="50"/>
      <w:jc w:val="center"/>
    </w:pPr>
    <w:rPr>
      <w:rFonts w:ascii="黑体" w:hAnsi="宋体" w:eastAsia="黑体"/>
      <w:kern w:val="0"/>
      <w:szCs w:val="21"/>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868</Words>
  <Characters>1173</Characters>
  <Lines>0</Lines>
  <Paragraphs>0</Paragraphs>
  <TotalTime>0</TotalTime>
  <ScaleCrop>false</ScaleCrop>
  <LinksUpToDate>false</LinksUpToDate>
  <CharactersWithSpaces>1241</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2022-07-21T00:57:00Z</dcterms:created>
  <dc:creator>范儿。</dc:creator>
  <cp:lastModifiedBy>Administrator</cp:lastModifiedBy>
  <dcterms:modified xsi:type="dcterms:W3CDTF">2022-07-22T07:31:06Z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DDAD51DA011B413B8F47864871663F9F</vt:lpwstr>
  </property>
</Properties>
</file>