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cs="仿宋_GB2312"/>
          <w:color w:val="000000" w:themeColor="text1"/>
          <w:sz w:val="32"/>
          <w:szCs w:val="32"/>
        </w:rPr>
      </w:pPr>
      <w:r>
        <w:rPr>
          <w:rFonts w:hint="eastAsia" w:ascii="宋体" w:hAnsi="宋体" w:cs="黑体"/>
          <w:color w:val="000000" w:themeColor="text1"/>
          <w:sz w:val="32"/>
          <w:szCs w:val="32"/>
        </w:rPr>
        <w:t>附件</w:t>
      </w:r>
      <w:r>
        <w:rPr>
          <w:rFonts w:ascii="宋体" w:hAnsi="宋体" w:cs="黑体"/>
          <w:color w:val="000000" w:themeColor="text1"/>
          <w:sz w:val="32"/>
          <w:szCs w:val="32"/>
        </w:rPr>
        <w:t>2</w:t>
      </w:r>
    </w:p>
    <w:p>
      <w:pPr>
        <w:spacing w:line="580" w:lineRule="exact"/>
        <w:ind w:firstLine="640" w:firstLineChars="200"/>
        <w:rPr>
          <w:rFonts w:ascii="宋体" w:hAnsi="宋体" w:cs="仿宋_GB2312"/>
          <w:sz w:val="32"/>
          <w:szCs w:val="32"/>
        </w:rPr>
      </w:pPr>
    </w:p>
    <w:p>
      <w:pPr>
        <w:spacing w:line="600" w:lineRule="exact"/>
        <w:jc w:val="center"/>
        <w:rPr>
          <w:rFonts w:ascii="黑体" w:hAnsi="黑体" w:eastAsia="黑体"/>
          <w:sz w:val="44"/>
          <w:szCs w:val="44"/>
        </w:rPr>
      </w:pPr>
      <w:r>
        <w:rPr>
          <w:rFonts w:hint="eastAsia" w:ascii="黑体" w:hAnsi="黑体" w:eastAsia="黑体"/>
          <w:sz w:val="44"/>
          <w:szCs w:val="44"/>
        </w:rPr>
        <w:t>金轮镇项目</w:t>
      </w:r>
      <w:r>
        <w:rPr>
          <w:rFonts w:ascii="黑体" w:hAnsi="黑体" w:eastAsia="黑体"/>
          <w:sz w:val="44"/>
          <w:szCs w:val="44"/>
        </w:rPr>
        <w:t>2020</w:t>
      </w:r>
      <w:r>
        <w:rPr>
          <w:rFonts w:hint="eastAsia" w:ascii="黑体" w:hAnsi="黑体" w:eastAsia="黑体"/>
          <w:sz w:val="44"/>
          <w:szCs w:val="44"/>
        </w:rPr>
        <w:t>年绩效评价报告</w:t>
      </w:r>
    </w:p>
    <w:p>
      <w:pPr>
        <w:spacing w:line="580" w:lineRule="exact"/>
        <w:ind w:firstLine="640" w:firstLineChars="200"/>
        <w:rPr>
          <w:rFonts w:ascii="黑体" w:hAnsi="仿宋" w:eastAsia="黑体"/>
          <w:sz w:val="32"/>
          <w:szCs w:val="32"/>
        </w:rPr>
      </w:pPr>
      <w:r>
        <w:rPr>
          <w:rFonts w:hint="eastAsia" w:ascii="黑体" w:hAnsi="仿宋" w:eastAsia="黑体" w:cs="仿宋"/>
          <w:sz w:val="32"/>
          <w:szCs w:val="32"/>
        </w:rPr>
        <w:t>一、评价工作开展及项目情况</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项目评价实施方案情况（包括选点、评价指标、评价方法、基础数据表等情况）</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20年，根据镇年初工作规划和重点性工作，紧紧围绕市政府全面建成小康社会的发展蓝图，积极履职，强化管理，较好的完成了年度工作目标任务。通过加强预算收支管理，不断建立健全内部管理制度，梳理内部管理流程，部门整体支出管理情况得到有效提升。根据</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20年度部门整体支出状况的概述和分析，部门整体支出绩效情况如下：</w:t>
      </w:r>
    </w:p>
    <w:p>
      <w:pPr>
        <w:widowControl/>
        <w:shd w:val="clear" w:color="auto" w:fill="FFFFFF"/>
        <w:spacing w:line="580" w:lineRule="exact"/>
        <w:ind w:firstLine="643" w:firstLineChars="200"/>
        <w:jc w:val="left"/>
        <w:rPr>
          <w:rFonts w:ascii="楷体" w:hAnsi="楷体" w:eastAsia="楷体" w:cs="宋体"/>
          <w:b/>
          <w:color w:val="000000"/>
          <w:kern w:val="0"/>
          <w:sz w:val="32"/>
          <w:szCs w:val="32"/>
        </w:rPr>
      </w:pPr>
      <w:r>
        <w:rPr>
          <w:rFonts w:hint="eastAsia" w:ascii="楷体" w:hAnsi="楷体" w:eastAsia="楷体" w:cs="宋体"/>
          <w:b/>
          <w:color w:val="000000"/>
          <w:kern w:val="0"/>
          <w:sz w:val="32"/>
          <w:szCs w:val="32"/>
        </w:rPr>
        <w:t>（一）经济效益评价</w:t>
      </w:r>
    </w:p>
    <w:p>
      <w:pPr>
        <w:widowControl/>
        <w:shd w:val="clear" w:color="auto" w:fill="FFFFFF"/>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1.本年预算配置控制较好。</w:t>
      </w:r>
      <w:r>
        <w:rPr>
          <w:rFonts w:hint="eastAsia" w:ascii="仿宋" w:hAnsi="仿宋" w:eastAsia="仿宋" w:cs="宋体"/>
          <w:color w:val="000000"/>
          <w:kern w:val="0"/>
          <w:sz w:val="32"/>
          <w:szCs w:val="32"/>
        </w:rPr>
        <w:t>财政供养人员控制在预算编制以内，编制内的在岗、在册、在职人员控制率小于</w:t>
      </w: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；“三公”经费预算总额较上年减少</w:t>
      </w:r>
      <w:r>
        <w:rPr>
          <w:rFonts w:ascii="仿宋" w:hAnsi="仿宋" w:eastAsia="仿宋" w:cs="宋体"/>
          <w:color w:val="000000"/>
          <w:kern w:val="0"/>
          <w:sz w:val="32"/>
          <w:szCs w:val="32"/>
        </w:rPr>
        <w:t>30%</w:t>
      </w:r>
      <w:r>
        <w:rPr>
          <w:rFonts w:hint="eastAsia" w:ascii="仿宋" w:hAnsi="仿宋" w:eastAsia="仿宋" w:cs="宋体"/>
          <w:color w:val="000000"/>
          <w:kern w:val="0"/>
          <w:sz w:val="32"/>
          <w:szCs w:val="32"/>
        </w:rPr>
        <w:t>。</w:t>
      </w:r>
    </w:p>
    <w:p>
      <w:pPr>
        <w:widowControl/>
        <w:shd w:val="clear" w:color="auto" w:fill="FFFFFF"/>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2.预算执行方面。</w:t>
      </w:r>
      <w:r>
        <w:rPr>
          <w:rFonts w:hint="eastAsia" w:ascii="仿宋" w:hAnsi="仿宋" w:eastAsia="仿宋" w:cs="宋体"/>
          <w:color w:val="000000"/>
          <w:kern w:val="0"/>
          <w:sz w:val="32"/>
          <w:szCs w:val="32"/>
        </w:rPr>
        <w:t>支出总额控制在预算总额以内，本年部门预算只在</w:t>
      </w:r>
      <w:r>
        <w:rPr>
          <w:rFonts w:ascii="仿宋" w:hAnsi="仿宋" w:eastAsia="仿宋" w:cs="宋体"/>
          <w:color w:val="000000"/>
          <w:kern w:val="0"/>
          <w:sz w:val="32"/>
          <w:szCs w:val="32"/>
        </w:rPr>
        <w:t>7</w:t>
      </w:r>
      <w:r>
        <w:rPr>
          <w:rFonts w:hint="eastAsia" w:ascii="仿宋" w:hAnsi="仿宋" w:eastAsia="仿宋" w:cs="宋体"/>
          <w:color w:val="000000"/>
          <w:kern w:val="0"/>
          <w:sz w:val="32"/>
          <w:szCs w:val="32"/>
        </w:rPr>
        <w:t>月份进行预算相关事项的微小调整；我镇预算内在取得财政局的年度预算批复时，随批复一同进行了下达；“三公”经费总体控制较好，未超年预算及追加数。</w:t>
      </w:r>
    </w:p>
    <w:p>
      <w:pPr>
        <w:widowControl/>
        <w:shd w:val="clear" w:color="auto" w:fill="FFFFFF"/>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3.预算管理方面。</w:t>
      </w:r>
      <w:r>
        <w:rPr>
          <w:rFonts w:hint="eastAsia" w:ascii="仿宋" w:hAnsi="仿宋" w:eastAsia="仿宋" w:cs="宋体"/>
          <w:color w:val="000000"/>
          <w:kern w:val="0"/>
          <w:sz w:val="32"/>
          <w:szCs w:val="32"/>
        </w:rPr>
        <w:t>制度执行总体效果较为理想，仍需进一步强化；资金使用管理需要进一步加强。</w:t>
      </w:r>
    </w:p>
    <w:p>
      <w:pPr>
        <w:widowControl/>
        <w:shd w:val="clear" w:color="auto" w:fill="FFFFFF"/>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4.资产管理方面。</w:t>
      </w:r>
      <w:r>
        <w:rPr>
          <w:rFonts w:hint="eastAsia" w:ascii="仿宋" w:hAnsi="仿宋" w:eastAsia="仿宋" w:cs="宋体"/>
          <w:color w:val="000000"/>
          <w:kern w:val="0"/>
          <w:sz w:val="32"/>
          <w:szCs w:val="32"/>
        </w:rPr>
        <w:t>建立了资产管理制度，定期进行了资产盘点和资产清理，严格按照资产管理的要求执行。</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根据部门整体支出绩效评价指标体系，本镇</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20年度评价得分为</w:t>
      </w:r>
      <w:r>
        <w:rPr>
          <w:rFonts w:ascii="仿宋" w:hAnsi="仿宋" w:eastAsia="仿宋" w:cs="宋体"/>
          <w:color w:val="000000"/>
          <w:kern w:val="0"/>
          <w:sz w:val="32"/>
          <w:szCs w:val="32"/>
        </w:rPr>
        <w:t>9</w:t>
      </w:r>
      <w:r>
        <w:rPr>
          <w:rFonts w:hint="eastAsia" w:ascii="仿宋" w:hAnsi="仿宋" w:eastAsia="仿宋" w:cs="宋体"/>
          <w:color w:val="000000"/>
          <w:kern w:val="0"/>
          <w:sz w:val="32"/>
          <w:szCs w:val="32"/>
        </w:rPr>
        <w:t>6分。</w:t>
      </w:r>
    </w:p>
    <w:p>
      <w:pPr>
        <w:widowControl/>
        <w:shd w:val="clear" w:color="auto" w:fill="FFFFFF"/>
        <w:spacing w:line="580" w:lineRule="exact"/>
        <w:ind w:firstLine="643" w:firstLineChars="200"/>
        <w:jc w:val="left"/>
        <w:rPr>
          <w:rFonts w:ascii="楷体" w:hAnsi="楷体" w:eastAsia="楷体" w:cs="宋体"/>
          <w:b/>
          <w:color w:val="000000"/>
          <w:kern w:val="0"/>
          <w:sz w:val="32"/>
          <w:szCs w:val="32"/>
        </w:rPr>
      </w:pPr>
      <w:r>
        <w:rPr>
          <w:rFonts w:hint="eastAsia" w:ascii="楷体" w:hAnsi="楷体" w:eastAsia="楷体" w:cs="宋体"/>
          <w:b/>
          <w:color w:val="000000"/>
          <w:kern w:val="0"/>
          <w:sz w:val="32"/>
          <w:szCs w:val="32"/>
        </w:rPr>
        <w:t>（二）效率性评价和有效性评价</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我镇预算安排的基本支出保障了我镇正常的工作运转，我镇在执行上是严格遵守各项财经纪律的。我镇在资金的管理和使用上，严守法律底线、纪律底线、道德底线。</w:t>
      </w:r>
    </w:p>
    <w:p>
      <w:pPr>
        <w:widowControl/>
        <w:shd w:val="clear" w:color="auto" w:fill="FFFFFF"/>
        <w:spacing w:line="580" w:lineRule="exact"/>
        <w:ind w:firstLine="643" w:firstLineChars="200"/>
        <w:jc w:val="left"/>
        <w:rPr>
          <w:rFonts w:ascii="楷体" w:hAnsi="楷体" w:eastAsia="楷体" w:cs="宋体"/>
          <w:b/>
          <w:color w:val="000000"/>
          <w:kern w:val="0"/>
          <w:sz w:val="32"/>
          <w:szCs w:val="32"/>
        </w:rPr>
      </w:pPr>
      <w:r>
        <w:rPr>
          <w:rFonts w:hint="eastAsia" w:ascii="楷体" w:hAnsi="楷体" w:eastAsia="楷体" w:cs="宋体"/>
          <w:b/>
          <w:color w:val="000000"/>
          <w:kern w:val="0"/>
          <w:sz w:val="32"/>
          <w:szCs w:val="32"/>
        </w:rPr>
        <w:t>（三）社会公众满意度评价</w:t>
      </w:r>
    </w:p>
    <w:p>
      <w:pPr>
        <w:widowControl/>
        <w:shd w:val="clear" w:color="auto" w:fill="FFFFFF"/>
        <w:spacing w:line="580" w:lineRule="exact"/>
        <w:ind w:firstLine="640" w:firstLineChars="200"/>
        <w:jc w:val="left"/>
        <w:rPr>
          <w:rFonts w:ascii="仿宋" w:hAnsi="仿宋" w:eastAsia="仿宋" w:cs="宋体"/>
          <w:color w:val="000000"/>
          <w:kern w:val="0"/>
          <w:sz w:val="30"/>
          <w:szCs w:val="30"/>
        </w:rPr>
      </w:pP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20年，全镇干部职工在镇党委和政府的正确领导下，认真贯彻落实党的十九大</w:t>
      </w:r>
      <w:bookmarkStart w:id="0" w:name="_GoBack"/>
      <w:bookmarkEnd w:id="0"/>
      <w:r>
        <w:rPr>
          <w:rFonts w:hint="eastAsia" w:ascii="仿宋" w:hAnsi="仿宋" w:eastAsia="仿宋" w:cs="宋体"/>
          <w:color w:val="000000"/>
          <w:kern w:val="0"/>
          <w:sz w:val="32"/>
          <w:szCs w:val="32"/>
        </w:rPr>
        <w:t>精神，勤奋工作，创先争优。向社会公众交一份满意的答卷。</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二、评价结论及绩效分析</w:t>
      </w:r>
    </w:p>
    <w:p>
      <w:pPr>
        <w:spacing w:line="580" w:lineRule="exact"/>
        <w:ind w:firstLine="643" w:firstLineChars="200"/>
        <w:rPr>
          <w:rFonts w:ascii="楷体" w:hAnsi="楷体" w:eastAsia="楷体"/>
          <w:b/>
          <w:sz w:val="32"/>
          <w:szCs w:val="32"/>
        </w:rPr>
      </w:pPr>
      <w:r>
        <w:rPr>
          <w:rFonts w:hint="eastAsia" w:ascii="楷体" w:hAnsi="楷体" w:eastAsia="楷体" w:cs="仿宋"/>
          <w:b/>
          <w:sz w:val="32"/>
          <w:szCs w:val="32"/>
        </w:rPr>
        <w:t>（一）评价结论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项目绩效评价总体结论（包括项目评价得分表）</w:t>
      </w:r>
    </w:p>
    <w:p>
      <w:pPr>
        <w:spacing w:line="580" w:lineRule="exact"/>
        <w:ind w:firstLine="200"/>
        <w:jc w:val="center"/>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20年部门整体支出绩效评价得分表</w:t>
      </w:r>
    </w:p>
    <w:tbl>
      <w:tblPr>
        <w:tblStyle w:val="6"/>
        <w:tblW w:w="9498" w:type="dxa"/>
        <w:tblInd w:w="-176" w:type="dxa"/>
        <w:tblLayout w:type="fixed"/>
        <w:tblCellMar>
          <w:top w:w="0" w:type="dxa"/>
          <w:left w:w="108" w:type="dxa"/>
          <w:bottom w:w="0" w:type="dxa"/>
          <w:right w:w="108" w:type="dxa"/>
        </w:tblCellMar>
      </w:tblPr>
      <w:tblGrid>
        <w:gridCol w:w="1702"/>
        <w:gridCol w:w="2182"/>
        <w:gridCol w:w="3488"/>
        <w:gridCol w:w="2126"/>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580" w:lineRule="exact"/>
              <w:ind w:firstLine="20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2182" w:type="dxa"/>
            <w:tcBorders>
              <w:top w:val="single" w:color="auto" w:sz="4" w:space="0"/>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3488" w:type="dxa"/>
            <w:tcBorders>
              <w:top w:val="single" w:color="auto" w:sz="4" w:space="0"/>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tcPr>
          <w:p>
            <w:pPr>
              <w:widowControl/>
              <w:spacing w:line="580" w:lineRule="exact"/>
              <w:ind w:firstLine="20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部门决策（</w:t>
            </w:r>
            <w:r>
              <w:rPr>
                <w:rFonts w:ascii="仿宋" w:hAnsi="仿宋" w:eastAsia="仿宋" w:cs="宋体"/>
                <w:color w:val="000000"/>
                <w:kern w:val="0"/>
                <w:sz w:val="20"/>
                <w:szCs w:val="20"/>
              </w:rPr>
              <w:t>25</w:t>
            </w:r>
            <w:r>
              <w:rPr>
                <w:rFonts w:hint="eastAsia" w:ascii="仿宋" w:hAnsi="仿宋" w:eastAsia="仿宋" w:cs="宋体"/>
                <w:color w:val="000000"/>
                <w:kern w:val="0"/>
                <w:sz w:val="20"/>
                <w:szCs w:val="20"/>
              </w:rPr>
              <w:t>分）</w:t>
            </w:r>
          </w:p>
        </w:tc>
        <w:tc>
          <w:tcPr>
            <w:tcW w:w="2182" w:type="dxa"/>
            <w:vMerge w:val="restart"/>
            <w:tcBorders>
              <w:top w:val="nil"/>
              <w:left w:val="single" w:color="auto" w:sz="4" w:space="0"/>
              <w:bottom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目标任务（</w:t>
            </w:r>
            <w:r>
              <w:rPr>
                <w:rFonts w:ascii="仿宋" w:hAnsi="仿宋" w:eastAsia="仿宋" w:cs="宋体"/>
                <w:color w:val="000000"/>
                <w:kern w:val="0"/>
                <w:sz w:val="20"/>
                <w:szCs w:val="20"/>
              </w:rPr>
              <w:t>15</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相关性（</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kern w:val="0"/>
                <w:sz w:val="20"/>
                <w:szCs w:val="20"/>
              </w:rPr>
            </w:pPr>
            <w:r>
              <w:rPr>
                <w:rFonts w:ascii="仿宋" w:hAnsi="仿宋" w:eastAsia="仿宋" w:cs="宋体"/>
                <w:color w:val="000000"/>
                <w:kern w:val="0"/>
                <w:sz w:val="20"/>
                <w:szCs w:val="20"/>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明确性（</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kern w:val="0"/>
                <w:sz w:val="20"/>
                <w:szCs w:val="20"/>
              </w:rPr>
            </w:pPr>
            <w:r>
              <w:rPr>
                <w:rFonts w:ascii="仿宋" w:hAnsi="仿宋" w:eastAsia="仿宋" w:cs="宋体"/>
                <w:color w:val="000000"/>
                <w:kern w:val="0"/>
                <w:sz w:val="20"/>
                <w:szCs w:val="20"/>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合理性（</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kern w:val="0"/>
                <w:sz w:val="20"/>
                <w:szCs w:val="20"/>
              </w:rPr>
            </w:pPr>
            <w:r>
              <w:rPr>
                <w:rFonts w:ascii="仿宋" w:hAnsi="仿宋" w:eastAsia="仿宋" w:cs="宋体"/>
                <w:color w:val="000000"/>
                <w:kern w:val="0"/>
                <w:sz w:val="20"/>
                <w:szCs w:val="20"/>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kern w:val="0"/>
                <w:sz w:val="20"/>
                <w:szCs w:val="20"/>
              </w:rPr>
            </w:pPr>
          </w:p>
        </w:tc>
        <w:tc>
          <w:tcPr>
            <w:tcW w:w="2182" w:type="dxa"/>
            <w:vMerge w:val="restart"/>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预算编制（</w:t>
            </w: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测算依据（</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kern w:val="0"/>
                <w:sz w:val="20"/>
                <w:szCs w:val="20"/>
              </w:rPr>
            </w:pPr>
            <w:r>
              <w:rPr>
                <w:rFonts w:ascii="仿宋" w:hAnsi="仿宋" w:eastAsia="仿宋" w:cs="宋体"/>
                <w:color w:val="000000"/>
                <w:kern w:val="0"/>
                <w:sz w:val="20"/>
                <w:szCs w:val="20"/>
              </w:rPr>
              <w:t>5</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目标管理（</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kern w:val="0"/>
                <w:sz w:val="20"/>
                <w:szCs w:val="20"/>
              </w:rPr>
            </w:pPr>
            <w:r>
              <w:rPr>
                <w:rFonts w:ascii="仿宋" w:hAnsi="仿宋" w:eastAsia="仿宋" w:cs="宋体"/>
                <w:color w:val="000000"/>
                <w:kern w:val="0"/>
                <w:sz w:val="20"/>
                <w:szCs w:val="20"/>
              </w:rPr>
              <w:t>5</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综合管理（</w:t>
            </w:r>
            <w:r>
              <w:rPr>
                <w:rFonts w:ascii="仿宋" w:hAnsi="仿宋" w:eastAsia="仿宋" w:cs="宋体"/>
                <w:color w:val="000000"/>
                <w:kern w:val="0"/>
                <w:sz w:val="20"/>
                <w:szCs w:val="20"/>
              </w:rPr>
              <w:t>30</w:t>
            </w:r>
            <w:r>
              <w:rPr>
                <w:rFonts w:hint="eastAsia" w:ascii="仿宋" w:hAnsi="仿宋" w:eastAsia="仿宋" w:cs="宋体"/>
                <w:color w:val="000000"/>
                <w:kern w:val="0"/>
                <w:sz w:val="20"/>
                <w:szCs w:val="20"/>
              </w:rPr>
              <w:t>分）</w:t>
            </w:r>
          </w:p>
        </w:tc>
        <w:tc>
          <w:tcPr>
            <w:tcW w:w="2182" w:type="dxa"/>
            <w:vMerge w:val="restart"/>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专项资金分配时限（</w:t>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省级财力专项预算分配时限（</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kern w:val="0"/>
                <w:sz w:val="20"/>
                <w:szCs w:val="20"/>
              </w:rPr>
            </w:pPr>
            <w:r>
              <w:rPr>
                <w:rFonts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spacing w:line="580" w:lineRule="exact"/>
              <w:ind w:firstLine="200"/>
              <w:jc w:val="center"/>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中央专款分配合规率（</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kern w:val="0"/>
                <w:sz w:val="20"/>
                <w:szCs w:val="20"/>
              </w:rPr>
            </w:pPr>
            <w:r>
              <w:rPr>
                <w:rFonts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vAlign w:val="center"/>
          </w:tcPr>
          <w:p>
            <w:pPr>
              <w:spacing w:line="580" w:lineRule="exact"/>
              <w:ind w:firstLine="200"/>
              <w:jc w:val="center"/>
              <w:rPr>
                <w:rFonts w:ascii="仿宋" w:hAnsi="仿宋" w:eastAsia="仿宋" w:cs="宋体"/>
                <w:color w:val="000000"/>
                <w:kern w:val="0"/>
                <w:sz w:val="20"/>
                <w:szCs w:val="20"/>
              </w:rPr>
            </w:pPr>
          </w:p>
        </w:tc>
        <w:tc>
          <w:tcPr>
            <w:tcW w:w="2182"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中期评估（</w:t>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执行中期评估（</w:t>
            </w:r>
            <w:r>
              <w:rPr>
                <w:rFonts w:ascii="仿宋" w:hAnsi="仿宋" w:eastAsia="仿宋" w:cs="宋体"/>
                <w:color w:val="000000" w:themeColor="text1"/>
                <w:kern w:val="0"/>
                <w:sz w:val="20"/>
                <w:szCs w:val="20"/>
              </w:rPr>
              <w:t>2</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1</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vAlign w:val="center"/>
          </w:tcPr>
          <w:p>
            <w:pPr>
              <w:spacing w:line="580" w:lineRule="exact"/>
              <w:ind w:firstLine="200"/>
              <w:jc w:val="center"/>
              <w:rPr>
                <w:rFonts w:ascii="仿宋" w:hAnsi="仿宋" w:eastAsia="仿宋" w:cs="宋体"/>
                <w:color w:val="000000"/>
                <w:kern w:val="0"/>
                <w:sz w:val="20"/>
                <w:szCs w:val="20"/>
              </w:rPr>
            </w:pPr>
          </w:p>
        </w:tc>
        <w:tc>
          <w:tcPr>
            <w:tcW w:w="2182" w:type="dxa"/>
            <w:vMerge w:val="restart"/>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绩效监控（</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预算执行进度监控（</w:t>
            </w:r>
            <w:r>
              <w:rPr>
                <w:rFonts w:ascii="仿宋" w:hAnsi="仿宋" w:eastAsia="仿宋" w:cs="宋体"/>
                <w:color w:val="000000" w:themeColor="text1"/>
                <w:kern w:val="0"/>
                <w:sz w:val="20"/>
                <w:szCs w:val="20"/>
              </w:rPr>
              <w:t>2</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1</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vAlign w:val="center"/>
          </w:tcPr>
          <w:p>
            <w:pPr>
              <w:spacing w:line="580" w:lineRule="exact"/>
              <w:ind w:firstLine="200"/>
              <w:jc w:val="center"/>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绩效目标动态监控（</w:t>
            </w:r>
            <w:r>
              <w:rPr>
                <w:rFonts w:ascii="仿宋" w:hAnsi="仿宋" w:eastAsia="仿宋" w:cs="宋体"/>
                <w:color w:val="000000" w:themeColor="text1"/>
                <w:kern w:val="0"/>
                <w:sz w:val="20"/>
                <w:szCs w:val="20"/>
              </w:rPr>
              <w:t>3</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spacing w:line="580" w:lineRule="exact"/>
              <w:ind w:firstLine="200"/>
              <w:jc w:val="center"/>
              <w:rPr>
                <w:rFonts w:ascii="仿宋" w:hAnsi="仿宋" w:eastAsia="仿宋" w:cs="宋体"/>
                <w:color w:val="000000"/>
                <w:kern w:val="0"/>
                <w:sz w:val="20"/>
                <w:szCs w:val="20"/>
              </w:rPr>
            </w:pPr>
          </w:p>
        </w:tc>
        <w:tc>
          <w:tcPr>
            <w:tcW w:w="2182" w:type="dxa"/>
            <w:vMerge w:val="restart"/>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非税收入执收情况（</w:t>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非税收入征收情况（</w:t>
            </w:r>
            <w:r>
              <w:rPr>
                <w:rFonts w:ascii="仿宋" w:hAnsi="仿宋" w:eastAsia="仿宋" w:cs="宋体"/>
                <w:color w:val="000000" w:themeColor="text1"/>
                <w:kern w:val="0"/>
                <w:sz w:val="20"/>
                <w:szCs w:val="20"/>
              </w:rPr>
              <w:t>1</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vAlign w:val="center"/>
          </w:tcPr>
          <w:p>
            <w:pPr>
              <w:spacing w:line="580" w:lineRule="exact"/>
              <w:ind w:firstLine="200"/>
              <w:jc w:val="center"/>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非税收入上缴情况（</w:t>
            </w:r>
            <w:r>
              <w:rPr>
                <w:rFonts w:ascii="仿宋" w:hAnsi="仿宋" w:eastAsia="仿宋" w:cs="宋体"/>
                <w:color w:val="000000" w:themeColor="text1"/>
                <w:kern w:val="0"/>
                <w:sz w:val="20"/>
                <w:szCs w:val="20"/>
              </w:rPr>
              <w:t>1</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spacing w:line="580" w:lineRule="exact"/>
              <w:ind w:firstLine="200"/>
              <w:jc w:val="center"/>
              <w:rPr>
                <w:rFonts w:ascii="仿宋" w:hAnsi="仿宋" w:eastAsia="仿宋" w:cs="宋体"/>
                <w:color w:val="000000"/>
                <w:kern w:val="0"/>
                <w:sz w:val="20"/>
                <w:szCs w:val="20"/>
              </w:rPr>
            </w:pPr>
          </w:p>
        </w:tc>
        <w:tc>
          <w:tcPr>
            <w:tcW w:w="2182" w:type="dxa"/>
            <w:vMerge w:val="restart"/>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资产管理（</w:t>
            </w: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资产管理信息化情况（</w:t>
            </w:r>
            <w:r>
              <w:rPr>
                <w:rFonts w:ascii="仿宋" w:hAnsi="仿宋" w:eastAsia="仿宋" w:cs="宋体"/>
                <w:color w:val="000000" w:themeColor="text1"/>
                <w:kern w:val="0"/>
                <w:sz w:val="20"/>
                <w:szCs w:val="20"/>
              </w:rPr>
              <w:t>2</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1</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spacing w:line="580" w:lineRule="exact"/>
              <w:ind w:firstLine="200"/>
              <w:jc w:val="center"/>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行政事业单位资产报告情况（</w:t>
            </w:r>
            <w:r>
              <w:rPr>
                <w:rFonts w:ascii="仿宋" w:hAnsi="仿宋" w:eastAsia="仿宋" w:cs="宋体"/>
                <w:color w:val="000000" w:themeColor="text1"/>
                <w:kern w:val="0"/>
                <w:sz w:val="20"/>
                <w:szCs w:val="20"/>
              </w:rPr>
              <w:t>2</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2</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vAlign w:val="center"/>
          </w:tcPr>
          <w:p>
            <w:pPr>
              <w:spacing w:line="580" w:lineRule="exact"/>
              <w:ind w:firstLine="200"/>
              <w:jc w:val="center"/>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资产管理与预算管理相结合（</w:t>
            </w:r>
            <w:r>
              <w:rPr>
                <w:rFonts w:ascii="仿宋" w:hAnsi="仿宋" w:eastAsia="仿宋" w:cs="宋体"/>
                <w:color w:val="000000" w:themeColor="text1"/>
                <w:kern w:val="0"/>
                <w:sz w:val="20"/>
                <w:szCs w:val="20"/>
              </w:rPr>
              <w:t>2</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1</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kern w:val="0"/>
                <w:sz w:val="20"/>
                <w:szCs w:val="20"/>
              </w:rPr>
            </w:pPr>
          </w:p>
        </w:tc>
        <w:tc>
          <w:tcPr>
            <w:tcW w:w="2182"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内控制度管理（</w:t>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内部控制度健全完整（</w:t>
            </w:r>
            <w:r>
              <w:rPr>
                <w:rFonts w:ascii="仿宋" w:hAnsi="仿宋" w:eastAsia="仿宋" w:cs="宋体"/>
                <w:color w:val="000000" w:themeColor="text1"/>
                <w:kern w:val="0"/>
                <w:sz w:val="20"/>
                <w:szCs w:val="20"/>
              </w:rPr>
              <w:t>2</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2</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2182" w:type="dxa"/>
            <w:vMerge w:val="restart"/>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信息公开（</w:t>
            </w: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预算公开（</w:t>
            </w:r>
            <w:r>
              <w:rPr>
                <w:rFonts w:ascii="仿宋" w:hAnsi="仿宋" w:eastAsia="仿宋" w:cs="宋体"/>
                <w:color w:val="000000" w:themeColor="text1"/>
                <w:kern w:val="0"/>
                <w:sz w:val="20"/>
                <w:szCs w:val="20"/>
              </w:rPr>
              <w:t>2</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决算公开（</w:t>
            </w:r>
            <w:r>
              <w:rPr>
                <w:rFonts w:ascii="仿宋" w:hAnsi="仿宋" w:eastAsia="仿宋" w:cs="宋体"/>
                <w:color w:val="000000" w:themeColor="text1"/>
                <w:kern w:val="0"/>
                <w:sz w:val="20"/>
                <w:szCs w:val="20"/>
              </w:rPr>
              <w:t>2</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绩效信息公开（</w:t>
            </w:r>
            <w:r>
              <w:rPr>
                <w:rFonts w:ascii="仿宋" w:hAnsi="仿宋" w:eastAsia="仿宋" w:cs="宋体"/>
                <w:color w:val="000000" w:themeColor="text1"/>
                <w:kern w:val="0"/>
                <w:sz w:val="20"/>
                <w:szCs w:val="20"/>
              </w:rPr>
              <w:t>2</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1</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2182" w:type="dxa"/>
            <w:vMerge w:val="restart"/>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绩效评价（</w:t>
            </w:r>
            <w:r>
              <w:rPr>
                <w:rFonts w:ascii="仿宋" w:hAnsi="仿宋" w:eastAsia="仿宋" w:cs="宋体"/>
                <w:color w:val="000000"/>
                <w:kern w:val="0"/>
                <w:sz w:val="20"/>
                <w:szCs w:val="20"/>
              </w:rPr>
              <w:t>5</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绩效评价开展（</w:t>
            </w:r>
            <w:r>
              <w:rPr>
                <w:rFonts w:ascii="仿宋" w:hAnsi="仿宋" w:eastAsia="仿宋" w:cs="宋体"/>
                <w:color w:val="000000" w:themeColor="text1"/>
                <w:kern w:val="0"/>
                <w:sz w:val="20"/>
                <w:szCs w:val="20"/>
              </w:rPr>
              <w:t>2</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评价结果应用（</w:t>
            </w:r>
            <w:r>
              <w:rPr>
                <w:rFonts w:ascii="仿宋" w:hAnsi="仿宋" w:eastAsia="仿宋" w:cs="宋体"/>
                <w:color w:val="000000" w:themeColor="text1"/>
                <w:kern w:val="0"/>
                <w:sz w:val="20"/>
                <w:szCs w:val="20"/>
              </w:rPr>
              <w:t>3</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left"/>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2</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部门绩效情况（</w:t>
            </w:r>
            <w:r>
              <w:rPr>
                <w:rFonts w:ascii="仿宋" w:hAnsi="仿宋" w:eastAsia="仿宋" w:cs="宋体"/>
                <w:color w:val="000000"/>
                <w:kern w:val="0"/>
                <w:sz w:val="20"/>
                <w:szCs w:val="20"/>
              </w:rPr>
              <w:t>45</w:t>
            </w:r>
            <w:r>
              <w:rPr>
                <w:rFonts w:hint="eastAsia" w:ascii="仿宋" w:hAnsi="仿宋" w:eastAsia="仿宋" w:cs="宋体"/>
                <w:color w:val="000000"/>
                <w:kern w:val="0"/>
                <w:sz w:val="20"/>
                <w:szCs w:val="20"/>
              </w:rPr>
              <w:t>分）</w:t>
            </w:r>
          </w:p>
        </w:tc>
        <w:tc>
          <w:tcPr>
            <w:tcW w:w="2182" w:type="dxa"/>
            <w:vMerge w:val="restart"/>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履职成效（</w:t>
            </w:r>
            <w:r>
              <w:rPr>
                <w:rFonts w:ascii="仿宋" w:hAnsi="仿宋" w:eastAsia="仿宋" w:cs="宋体"/>
                <w:color w:val="000000"/>
                <w:kern w:val="0"/>
                <w:sz w:val="20"/>
                <w:szCs w:val="20"/>
              </w:rPr>
              <w:t>20</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部门特性指标</w:t>
            </w:r>
          </w:p>
        </w:tc>
        <w:tc>
          <w:tcPr>
            <w:tcW w:w="2126" w:type="dxa"/>
            <w:tcBorders>
              <w:top w:val="nil"/>
              <w:left w:val="nil"/>
              <w:bottom w:val="single" w:color="auto" w:sz="4" w:space="0"/>
              <w:right w:val="single" w:color="auto" w:sz="4" w:space="0"/>
            </w:tcBorders>
          </w:tcPr>
          <w:p>
            <w:pPr>
              <w:widowControl/>
              <w:spacing w:line="580" w:lineRule="exact"/>
              <w:ind w:firstLine="200"/>
              <w:jc w:val="center"/>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19</w:t>
            </w: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vAlign w:val="center"/>
          </w:tcPr>
          <w:p>
            <w:pPr>
              <w:spacing w:line="580" w:lineRule="exact"/>
              <w:ind w:firstLine="200"/>
              <w:jc w:val="left"/>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themeColor="text1"/>
                <w:kern w:val="0"/>
                <w:sz w:val="20"/>
                <w:szCs w:val="20"/>
              </w:rPr>
            </w:pPr>
          </w:p>
        </w:tc>
        <w:tc>
          <w:tcPr>
            <w:tcW w:w="2126" w:type="dxa"/>
            <w:tcBorders>
              <w:top w:val="nil"/>
              <w:left w:val="nil"/>
              <w:bottom w:val="single" w:color="auto" w:sz="4" w:space="0"/>
              <w:right w:val="single" w:color="auto" w:sz="4" w:space="0"/>
            </w:tcBorders>
          </w:tcPr>
          <w:p>
            <w:pPr>
              <w:widowControl/>
              <w:spacing w:line="580" w:lineRule="exact"/>
              <w:ind w:firstLine="200"/>
              <w:jc w:val="center"/>
              <w:rPr>
                <w:rFonts w:ascii="仿宋" w:hAnsi="仿宋" w:eastAsia="仿宋" w:cs="宋体"/>
                <w:color w:val="000000" w:themeColor="text1"/>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spacing w:line="580" w:lineRule="exact"/>
              <w:ind w:firstLine="200"/>
              <w:jc w:val="left"/>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themeColor="text1"/>
                <w:kern w:val="0"/>
                <w:sz w:val="20"/>
                <w:szCs w:val="20"/>
              </w:rPr>
            </w:pPr>
          </w:p>
        </w:tc>
        <w:tc>
          <w:tcPr>
            <w:tcW w:w="2126" w:type="dxa"/>
            <w:tcBorders>
              <w:top w:val="nil"/>
              <w:left w:val="nil"/>
              <w:bottom w:val="single" w:color="auto" w:sz="4" w:space="0"/>
              <w:right w:val="single" w:color="auto" w:sz="4" w:space="0"/>
            </w:tcBorders>
          </w:tcPr>
          <w:p>
            <w:pPr>
              <w:widowControl/>
              <w:spacing w:line="580" w:lineRule="exact"/>
              <w:ind w:firstLine="200"/>
              <w:jc w:val="center"/>
              <w:rPr>
                <w:rFonts w:ascii="仿宋" w:hAnsi="仿宋" w:eastAsia="仿宋" w:cs="宋体"/>
                <w:color w:val="000000" w:themeColor="text1"/>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spacing w:line="580" w:lineRule="exact"/>
              <w:ind w:firstLine="200"/>
              <w:jc w:val="left"/>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themeColor="text1"/>
                <w:kern w:val="0"/>
                <w:sz w:val="20"/>
                <w:szCs w:val="20"/>
              </w:rPr>
            </w:pPr>
          </w:p>
        </w:tc>
        <w:tc>
          <w:tcPr>
            <w:tcW w:w="2126" w:type="dxa"/>
            <w:tcBorders>
              <w:top w:val="nil"/>
              <w:left w:val="nil"/>
              <w:bottom w:val="single" w:color="auto" w:sz="4" w:space="0"/>
              <w:right w:val="single" w:color="auto" w:sz="4" w:space="0"/>
            </w:tcBorders>
          </w:tcPr>
          <w:p>
            <w:pPr>
              <w:widowControl/>
              <w:spacing w:line="580" w:lineRule="exact"/>
              <w:ind w:firstLine="200"/>
              <w:jc w:val="center"/>
              <w:rPr>
                <w:rFonts w:ascii="仿宋" w:hAnsi="仿宋" w:eastAsia="仿宋" w:cs="宋体"/>
                <w:color w:val="000000" w:themeColor="text1"/>
                <w:kern w:val="0"/>
                <w:sz w:val="20"/>
                <w:szCs w:val="20"/>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vAlign w:val="center"/>
          </w:tcPr>
          <w:p>
            <w:pPr>
              <w:spacing w:line="580" w:lineRule="exact"/>
              <w:ind w:firstLine="200"/>
              <w:jc w:val="left"/>
              <w:rPr>
                <w:rFonts w:ascii="仿宋" w:hAnsi="仿宋" w:eastAsia="仿宋" w:cs="宋体"/>
                <w:color w:val="000000"/>
                <w:kern w:val="0"/>
                <w:sz w:val="20"/>
                <w:szCs w:val="20"/>
              </w:rPr>
            </w:pPr>
          </w:p>
        </w:tc>
        <w:tc>
          <w:tcPr>
            <w:tcW w:w="2182" w:type="dxa"/>
            <w:vMerge w:val="restart"/>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可持续发展能力（</w:t>
            </w:r>
            <w:r>
              <w:rPr>
                <w:rFonts w:ascii="仿宋" w:hAnsi="仿宋" w:eastAsia="仿宋" w:cs="宋体"/>
                <w:color w:val="000000"/>
                <w:kern w:val="0"/>
                <w:sz w:val="20"/>
                <w:szCs w:val="20"/>
              </w:rPr>
              <w:t>15</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重点改革（重点工作）完成情况（</w:t>
            </w:r>
            <w:r>
              <w:rPr>
                <w:rFonts w:ascii="仿宋" w:hAnsi="仿宋" w:eastAsia="仿宋" w:cs="宋体"/>
                <w:color w:val="000000" w:themeColor="text1"/>
                <w:kern w:val="0"/>
                <w:sz w:val="20"/>
                <w:szCs w:val="20"/>
              </w:rPr>
              <w:t>5</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center"/>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5</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vAlign w:val="center"/>
          </w:tcPr>
          <w:p>
            <w:pPr>
              <w:spacing w:line="580" w:lineRule="exact"/>
              <w:ind w:firstLine="200"/>
              <w:jc w:val="left"/>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科技（制度、方法、机制等）创新（</w:t>
            </w:r>
            <w:r>
              <w:rPr>
                <w:rFonts w:ascii="仿宋" w:hAnsi="仿宋" w:eastAsia="仿宋" w:cs="宋体"/>
                <w:color w:val="000000" w:themeColor="text1"/>
                <w:kern w:val="0"/>
                <w:sz w:val="20"/>
                <w:szCs w:val="20"/>
              </w:rPr>
              <w:t>5</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center"/>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4</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vAlign w:val="center"/>
          </w:tcPr>
          <w:p>
            <w:pPr>
              <w:spacing w:line="580" w:lineRule="exact"/>
              <w:ind w:firstLine="200"/>
              <w:jc w:val="left"/>
              <w:rPr>
                <w:rFonts w:ascii="仿宋" w:hAnsi="仿宋" w:eastAsia="仿宋" w:cs="宋体"/>
                <w:color w:val="000000"/>
                <w:kern w:val="0"/>
                <w:sz w:val="20"/>
                <w:szCs w:val="20"/>
              </w:rPr>
            </w:pPr>
          </w:p>
        </w:tc>
        <w:tc>
          <w:tcPr>
            <w:tcW w:w="2182" w:type="dxa"/>
            <w:vMerge w:val="continue"/>
            <w:tcBorders>
              <w:top w:val="nil"/>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人才培养（</w:t>
            </w:r>
            <w:r>
              <w:rPr>
                <w:rFonts w:ascii="仿宋" w:hAnsi="仿宋" w:eastAsia="仿宋" w:cs="宋体"/>
                <w:color w:val="000000" w:themeColor="text1"/>
                <w:kern w:val="0"/>
                <w:sz w:val="20"/>
                <w:szCs w:val="20"/>
              </w:rPr>
              <w:t>5</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center"/>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4</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vAlign w:val="center"/>
          </w:tcPr>
          <w:p>
            <w:pPr>
              <w:spacing w:line="580" w:lineRule="exact"/>
              <w:ind w:firstLine="200"/>
              <w:jc w:val="left"/>
              <w:rPr>
                <w:rFonts w:ascii="仿宋" w:hAnsi="仿宋" w:eastAsia="仿宋" w:cs="宋体"/>
                <w:color w:val="000000"/>
                <w:kern w:val="0"/>
                <w:sz w:val="20"/>
                <w:szCs w:val="20"/>
              </w:rPr>
            </w:pPr>
          </w:p>
        </w:tc>
        <w:tc>
          <w:tcPr>
            <w:tcW w:w="2182" w:type="dxa"/>
            <w:vMerge w:val="restart"/>
            <w:tcBorders>
              <w:top w:val="nil"/>
              <w:left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满意度（</w:t>
            </w:r>
            <w:r>
              <w:rPr>
                <w:rFonts w:ascii="仿宋" w:hAnsi="仿宋" w:eastAsia="仿宋" w:cs="宋体"/>
                <w:color w:val="000000"/>
                <w:kern w:val="0"/>
                <w:sz w:val="20"/>
                <w:szCs w:val="20"/>
              </w:rPr>
              <w:t>10</w:t>
            </w:r>
            <w:r>
              <w:rPr>
                <w:rFonts w:hint="eastAsia" w:ascii="仿宋" w:hAnsi="仿宋" w:eastAsia="仿宋" w:cs="宋体"/>
                <w:color w:val="000000"/>
                <w:kern w:val="0"/>
                <w:sz w:val="20"/>
                <w:szCs w:val="20"/>
              </w:rPr>
              <w:t>分）</w:t>
            </w: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协作部门满意度（</w:t>
            </w:r>
            <w:r>
              <w:rPr>
                <w:rFonts w:ascii="仿宋" w:hAnsi="仿宋" w:eastAsia="仿宋" w:cs="宋体"/>
                <w:color w:val="000000" w:themeColor="text1"/>
                <w:kern w:val="0"/>
                <w:sz w:val="20"/>
                <w:szCs w:val="20"/>
              </w:rPr>
              <w:t>3</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center"/>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vAlign w:val="center"/>
          </w:tcPr>
          <w:p>
            <w:pPr>
              <w:spacing w:line="580" w:lineRule="exact"/>
              <w:ind w:firstLine="200"/>
              <w:jc w:val="left"/>
              <w:rPr>
                <w:rFonts w:ascii="仿宋" w:hAnsi="仿宋" w:eastAsia="仿宋" w:cs="宋体"/>
                <w:color w:val="000000"/>
                <w:kern w:val="0"/>
                <w:sz w:val="20"/>
                <w:szCs w:val="20"/>
              </w:rPr>
            </w:pPr>
          </w:p>
        </w:tc>
        <w:tc>
          <w:tcPr>
            <w:tcW w:w="2182" w:type="dxa"/>
            <w:vMerge w:val="continue"/>
            <w:tcBorders>
              <w:left w:val="single" w:color="auto" w:sz="4" w:space="0"/>
              <w:right w:val="single" w:color="auto" w:sz="4" w:space="0"/>
            </w:tcBorders>
            <w:vAlign w:val="center"/>
          </w:tcPr>
          <w:p>
            <w:pPr>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管理对象满意度（</w:t>
            </w:r>
            <w:r>
              <w:rPr>
                <w:rFonts w:ascii="仿宋" w:hAnsi="仿宋" w:eastAsia="仿宋" w:cs="宋体"/>
                <w:color w:val="000000" w:themeColor="text1"/>
                <w:kern w:val="0"/>
                <w:sz w:val="20"/>
                <w:szCs w:val="20"/>
              </w:rPr>
              <w:t>3</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center"/>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3</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2182" w:type="dxa"/>
            <w:vMerge w:val="continue"/>
            <w:tcBorders>
              <w:left w:val="single" w:color="auto" w:sz="4" w:space="0"/>
              <w:bottom w:val="single" w:color="auto" w:sz="4" w:space="0"/>
              <w:right w:val="single" w:color="auto" w:sz="4" w:space="0"/>
            </w:tcBorders>
            <w:vAlign w:val="center"/>
          </w:tcPr>
          <w:p>
            <w:pPr>
              <w:widowControl/>
              <w:spacing w:line="580" w:lineRule="exact"/>
              <w:ind w:firstLine="200"/>
              <w:jc w:val="left"/>
              <w:rPr>
                <w:rFonts w:ascii="仿宋" w:hAnsi="仿宋" w:eastAsia="仿宋" w:cs="宋体"/>
                <w:color w:val="000000"/>
                <w:kern w:val="0"/>
                <w:sz w:val="20"/>
                <w:szCs w:val="20"/>
              </w:rPr>
            </w:pPr>
          </w:p>
        </w:tc>
        <w:tc>
          <w:tcPr>
            <w:tcW w:w="3488" w:type="dxa"/>
            <w:tcBorders>
              <w:top w:val="nil"/>
              <w:left w:val="nil"/>
              <w:bottom w:val="single" w:color="auto" w:sz="4" w:space="0"/>
              <w:right w:val="single" w:color="auto" w:sz="4" w:space="0"/>
            </w:tcBorders>
            <w:vAlign w:val="center"/>
          </w:tcPr>
          <w:p>
            <w:pPr>
              <w:widowControl/>
              <w:spacing w:line="580" w:lineRule="exact"/>
              <w:ind w:firstLine="200"/>
              <w:jc w:val="cente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社会公众满意度（</w:t>
            </w:r>
            <w:r>
              <w:rPr>
                <w:rFonts w:ascii="仿宋" w:hAnsi="仿宋" w:eastAsia="仿宋" w:cs="宋体"/>
                <w:color w:val="000000" w:themeColor="text1"/>
                <w:kern w:val="0"/>
                <w:sz w:val="20"/>
                <w:szCs w:val="20"/>
              </w:rPr>
              <w:t>4</w:t>
            </w:r>
            <w:r>
              <w:rPr>
                <w:rFonts w:hint="eastAsia" w:ascii="仿宋" w:hAnsi="仿宋" w:eastAsia="仿宋" w:cs="宋体"/>
                <w:color w:val="000000" w:themeColor="text1"/>
                <w:kern w:val="0"/>
                <w:sz w:val="20"/>
                <w:szCs w:val="20"/>
              </w:rPr>
              <w:t>分）</w:t>
            </w:r>
          </w:p>
        </w:tc>
        <w:tc>
          <w:tcPr>
            <w:tcW w:w="2126" w:type="dxa"/>
            <w:tcBorders>
              <w:top w:val="nil"/>
              <w:left w:val="nil"/>
              <w:bottom w:val="single" w:color="auto" w:sz="4" w:space="0"/>
              <w:right w:val="single" w:color="auto" w:sz="4" w:space="0"/>
            </w:tcBorders>
          </w:tcPr>
          <w:p>
            <w:pPr>
              <w:widowControl/>
              <w:spacing w:line="580" w:lineRule="exact"/>
              <w:ind w:firstLine="200"/>
              <w:jc w:val="center"/>
              <w:rPr>
                <w:rFonts w:ascii="仿宋" w:hAnsi="仿宋" w:eastAsia="仿宋" w:cs="宋体"/>
                <w:color w:val="000000" w:themeColor="text1"/>
                <w:kern w:val="0"/>
                <w:sz w:val="20"/>
                <w:szCs w:val="20"/>
              </w:rPr>
            </w:pPr>
            <w:r>
              <w:rPr>
                <w:rFonts w:ascii="仿宋" w:hAnsi="仿宋" w:eastAsia="仿宋" w:cs="宋体"/>
                <w:color w:val="000000" w:themeColor="text1"/>
                <w:kern w:val="0"/>
                <w:sz w:val="20"/>
                <w:szCs w:val="20"/>
              </w:rPr>
              <w:t>4</w:t>
            </w:r>
          </w:p>
        </w:tc>
      </w:tr>
    </w:tbl>
    <w:p>
      <w:pPr>
        <w:spacing w:line="580" w:lineRule="exact"/>
        <w:ind w:firstLine="200"/>
        <w:rPr>
          <w:color w:val="000000"/>
        </w:rPr>
      </w:pPr>
    </w:p>
    <w:p>
      <w:pPr>
        <w:spacing w:line="580" w:lineRule="exact"/>
        <w:ind w:firstLine="640" w:firstLineChars="200"/>
        <w:rPr>
          <w:rFonts w:ascii="仿宋" w:hAnsi="仿宋" w:eastAsia="仿宋"/>
          <w:sz w:val="32"/>
          <w:szCs w:val="32"/>
        </w:rPr>
      </w:pPr>
    </w:p>
    <w:p>
      <w:pPr>
        <w:spacing w:line="580" w:lineRule="exact"/>
        <w:ind w:firstLine="643" w:firstLineChars="200"/>
        <w:rPr>
          <w:rFonts w:ascii="楷体" w:hAnsi="楷体" w:eastAsia="楷体"/>
          <w:b/>
          <w:sz w:val="32"/>
          <w:szCs w:val="32"/>
        </w:rPr>
      </w:pPr>
      <w:r>
        <w:rPr>
          <w:rFonts w:hint="eastAsia" w:ascii="楷体" w:hAnsi="楷体" w:eastAsia="楷体" w:cs="仿宋"/>
          <w:b/>
          <w:sz w:val="32"/>
          <w:szCs w:val="32"/>
        </w:rPr>
        <w:t>（二）绩效分析</w:t>
      </w:r>
    </w:p>
    <w:p>
      <w:pPr>
        <w:widowControl/>
        <w:shd w:val="clear" w:color="auto" w:fill="FFFFFF"/>
        <w:spacing w:line="580" w:lineRule="exac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1.项目决策</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必要性和可行性分析（包括政策依据和政策完善，政策和需求的吻合程度分析），绩效目标设置情况（包括绩效目标设置的明确性和合理性）</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我镇</w:t>
      </w:r>
      <w:r>
        <w:rPr>
          <w:rFonts w:ascii="仿宋" w:hAnsi="仿宋" w:eastAsia="仿宋" w:cs="宋体"/>
          <w:color w:val="000000"/>
          <w:kern w:val="0"/>
          <w:sz w:val="32"/>
          <w:szCs w:val="32"/>
        </w:rPr>
        <w:t>2018</w:t>
      </w:r>
      <w:r>
        <w:rPr>
          <w:rFonts w:hint="eastAsia" w:ascii="仿宋" w:hAnsi="仿宋" w:eastAsia="仿宋" w:cs="宋体"/>
          <w:color w:val="000000"/>
          <w:kern w:val="0"/>
          <w:sz w:val="32"/>
          <w:szCs w:val="32"/>
        </w:rPr>
        <w:t>年我镇项目预算资金仅供只能保证基础设施的维护和少量的建设，加强内部控制管理制度建设，实施自动防错、查错和纠错的功能，实行自我约束，建立事前、事中、事后全过程的监督机制，基本合理设置岗位、工作基本按程序运行；信息公开方面</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按照信息公开的原则和要求依法对预决算及时、完整、真实的在广汉公众信息网上公开，接受群众的监督。</w:t>
      </w:r>
    </w:p>
    <w:p>
      <w:pPr>
        <w:widowControl/>
        <w:shd w:val="clear" w:color="auto" w:fill="FFFFFF"/>
        <w:spacing w:line="580" w:lineRule="exac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2.项目管理</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资金分配情况（资金分配管理的科学合理性）资，金使用情况（项目、资金管理的科学规范性）</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细化项目预算编制工作，认真做好预算的编制。进一步加强镇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提高预算的合理性和准确性。</w:t>
      </w:r>
    </w:p>
    <w:p>
      <w:pPr>
        <w:widowControl/>
        <w:shd w:val="clear" w:color="auto" w:fill="FFFFFF"/>
        <w:spacing w:line="580" w:lineRule="exac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3.项目绩效</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黑体" w:hAnsi="仿宋" w:eastAsia="黑体" w:cs="仿宋"/>
          <w:sz w:val="32"/>
          <w:szCs w:val="32"/>
        </w:rPr>
      </w:pPr>
      <w:r>
        <w:rPr>
          <w:rFonts w:hint="eastAsia" w:ascii="黑体" w:hAnsi="仿宋" w:eastAsia="黑体" w:cs="仿宋"/>
          <w:sz w:val="32"/>
          <w:szCs w:val="32"/>
        </w:rPr>
        <w:t>三、存在主要问题</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是工作机制有待进一步完善，由于在平时工作中未加强对绩效监控工作的重视，绩效监控工作容易滞后，未形成对绩效目标进行监控的习惯。二是单位各部门衔接不及时，无法及时监控预算绩效目标实施情况。三是政府和财务部门在部门整体支出的资金安排和使用上仍有不可预见性，在实际工作中有资金延迟到位的情况。</w:t>
      </w:r>
    </w:p>
    <w:p>
      <w:pPr>
        <w:spacing w:line="580" w:lineRule="exact"/>
        <w:ind w:firstLine="640" w:firstLineChars="200"/>
        <w:rPr>
          <w:rFonts w:ascii="黑体" w:hAnsi="仿宋" w:eastAsia="黑体" w:cs="仿宋"/>
          <w:sz w:val="32"/>
          <w:szCs w:val="32"/>
        </w:rPr>
      </w:pPr>
      <w:r>
        <w:rPr>
          <w:rFonts w:hint="eastAsia" w:ascii="黑体" w:hAnsi="仿宋" w:eastAsia="黑体" w:cs="仿宋"/>
          <w:sz w:val="32"/>
          <w:szCs w:val="32"/>
        </w:rPr>
        <w:t>四、相关建议与措施</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 细化预算编制工作，认真做好预算的编制。进一步加强镇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提高预算的合理性和准确性。</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 加强财务管理，严格财务审核。在费用报账支付时，按照预算规定的费用项目和用途进行资金使用审核、列报支付、财务核算，杜绝超支现象的发生。</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（三）加强项目开展进度的跟踪，开展项目绩效评价，确保项目绩效目标的完成。</w:t>
      </w:r>
    </w:p>
    <w:p>
      <w:pPr>
        <w:widowControl/>
        <w:adjustRightInd w:val="0"/>
        <w:snapToGrid w:val="0"/>
        <w:spacing w:line="580" w:lineRule="exact"/>
        <w:ind w:firstLine="600" w:firstLineChars="200"/>
        <w:jc w:val="left"/>
        <w:rPr>
          <w:rFonts w:ascii="仿宋_GB2312" w:hAnsi="宋体" w:cs="宋体"/>
          <w:color w:val="000000"/>
          <w:kern w:val="0"/>
          <w:sz w:val="30"/>
          <w:szCs w:val="30"/>
          <w:shd w:val="clear" w:color="auto" w:fill="FFFFFF"/>
        </w:rPr>
      </w:pPr>
    </w:p>
    <w:p>
      <w:pPr>
        <w:widowControl/>
        <w:jc w:val="left"/>
        <w:rPr>
          <w:rFonts w:ascii="仿宋_GB2312" w:hAnsi="宋体" w:eastAsia="仿宋_GB2312"/>
          <w:sz w:val="32"/>
          <w:szCs w:val="32"/>
        </w:rPr>
      </w:pPr>
    </w:p>
    <w:p/>
    <w:sectPr>
      <w:headerReference r:id="rId3" w:type="default"/>
      <w:footerReference r:id="rId4" w:type="default"/>
      <w:pgSz w:w="11906" w:h="16838"/>
      <w:pgMar w:top="2098" w:right="1531" w:bottom="1531" w:left="1531" w:header="2098" w:footer="1588"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0MDQ0M2E3YjdjMWNmYzk0YmYxYmM0OTU5NjNjYmEifQ=="/>
  </w:docVars>
  <w:rsids>
    <w:rsidRoot w:val="002433C9"/>
    <w:rsid w:val="000B67DF"/>
    <w:rsid w:val="002433C9"/>
    <w:rsid w:val="0032236F"/>
    <w:rsid w:val="00542E03"/>
    <w:rsid w:val="00683697"/>
    <w:rsid w:val="008546E1"/>
    <w:rsid w:val="008F31E0"/>
    <w:rsid w:val="00A14FDD"/>
    <w:rsid w:val="00CF301B"/>
    <w:rsid w:val="324D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keepNext/>
      <w:keepLines/>
      <w:spacing w:line="580" w:lineRule="exact"/>
      <w:ind w:right="440"/>
      <w:jc w:val="center"/>
      <w:outlineLvl w:val="0"/>
    </w:pPr>
    <w:rPr>
      <w:rFonts w:eastAsia="黑体"/>
      <w:b/>
      <w:bCs/>
      <w:kern w:val="44"/>
      <w:sz w:val="32"/>
      <w:szCs w:val="44"/>
    </w:rPr>
  </w:style>
  <w:style w:type="paragraph" w:styleId="3">
    <w:name w:val="heading 2"/>
    <w:basedOn w:val="1"/>
    <w:next w:val="1"/>
    <w:link w:val="9"/>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99"/>
    <w:pPr>
      <w:tabs>
        <w:tab w:val="center" w:pos="4153"/>
        <w:tab w:val="right" w:pos="8306"/>
      </w:tabs>
      <w:snapToGrid w:val="0"/>
      <w:jc w:val="left"/>
    </w:pPr>
    <w:rPr>
      <w:rFonts w:ascii="Calibri" w:hAnsi="Calibri"/>
      <w:kern w:val="0"/>
      <w:sz w:val="18"/>
      <w:szCs w:val="20"/>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character" w:customStyle="1" w:styleId="8">
    <w:name w:val="标题 1 Char"/>
    <w:basedOn w:val="7"/>
    <w:link w:val="2"/>
    <w:qFormat/>
    <w:uiPriority w:val="9"/>
    <w:rPr>
      <w:rFonts w:ascii="Times New Roman" w:hAnsi="Times New Roman" w:eastAsia="黑体" w:cs="Times New Roman"/>
      <w:b/>
      <w:bCs/>
      <w:kern w:val="44"/>
      <w:sz w:val="32"/>
      <w:szCs w:val="44"/>
    </w:rPr>
  </w:style>
  <w:style w:type="character" w:customStyle="1" w:styleId="9">
    <w:name w:val="标题 2 Char"/>
    <w:basedOn w:val="7"/>
    <w:link w:val="3"/>
    <w:qFormat/>
    <w:uiPriority w:val="9"/>
    <w:rPr>
      <w:rFonts w:ascii="Cambria" w:hAnsi="Cambria" w:eastAsia="宋体" w:cs="Times New Roman"/>
      <w:b/>
      <w:bCs/>
      <w:sz w:val="32"/>
      <w:szCs w:val="32"/>
    </w:rPr>
  </w:style>
  <w:style w:type="character" w:customStyle="1" w:styleId="10">
    <w:name w:val="页脚 Char"/>
    <w:basedOn w:val="7"/>
    <w:link w:val="4"/>
    <w:qFormat/>
    <w:uiPriority w:val="99"/>
    <w:rPr>
      <w:rFonts w:ascii="Calibri" w:hAnsi="Calibri" w:eastAsia="宋体" w:cs="Times New Roman"/>
      <w:kern w:val="0"/>
      <w:sz w:val="18"/>
      <w:szCs w:val="20"/>
    </w:rPr>
  </w:style>
  <w:style w:type="character" w:customStyle="1" w:styleId="11">
    <w:name w:val="页眉 Char"/>
    <w:basedOn w:val="7"/>
    <w:link w:val="5"/>
    <w:semiHidden/>
    <w:qFormat/>
    <w:uiPriority w:val="99"/>
    <w:rPr>
      <w:rFonts w:ascii="Calibri" w:hAnsi="Calibri" w:eastAsia="宋体" w:cs="Times New Roman"/>
      <w:kern w:val="0"/>
      <w:sz w:val="18"/>
      <w:szCs w:val="20"/>
    </w:rPr>
  </w:style>
  <w:style w:type="character" w:customStyle="1" w:styleId="12">
    <w:name w:val="样式 (西文) 宋体 三号 黑色"/>
    <w:basedOn w:val="7"/>
    <w:uiPriority w:val="0"/>
    <w:rPr>
      <w:rFonts w:ascii="宋体" w:hAnsi="宋体" w:eastAsia="仿宋_GB2312"/>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B3B684-AF8B-4CB4-992D-A6300D00E387}">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2145</Words>
  <Characters>2188</Characters>
  <Lines>16</Lines>
  <Paragraphs>4</Paragraphs>
  <TotalTime>6</TotalTime>
  <ScaleCrop>false</ScaleCrop>
  <LinksUpToDate>false</LinksUpToDate>
  <CharactersWithSpaces>2190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2022-09-23T02:53:00Z</dcterms:created>
  <dc:creator>Administrator</dc:creator>
  <cp:lastModifiedBy>admin</cp:lastModifiedBy>
  <dcterms:modified xsi:type="dcterms:W3CDTF">2023-02-13T07:08:11Z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D0C150FC070547D781EC5DE46E5C5584</vt:lpwstr>
  </property>
</Properties>
</file>