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framePr w:w="0" w:hRule="auto" w:wrap="auto" w:vAnchor="margin" w:hAnchor="text" w:xAlign="left" w:yAlign="inline"/>
        <w:spacing w:line="360" w:lineRule="auto"/>
        <w:rPr>
          <w:rFonts w:ascii="方正小标宋简体" w:hAnsi="黑体" w:eastAsia="方正小标宋简体" w:cs="方正仿宋简体"/>
          <w:color w:val="000000"/>
          <w:sz w:val="36"/>
          <w:szCs w:val="36"/>
        </w:rPr>
      </w:pPr>
      <w:r>
        <w:rPr>
          <w:rFonts w:hint="eastAsia" w:ascii="方正小标宋简体" w:hAnsi="黑体" w:eastAsia="方正小标宋简体" w:cs="方正仿宋简体"/>
          <w:color w:val="000000"/>
          <w:sz w:val="36"/>
          <w:szCs w:val="36"/>
        </w:rPr>
        <w:t>广汉市储热式电热暖手器产品质量监督抽查实施细则</w:t>
      </w:r>
    </w:p>
    <w:p>
      <w:pPr>
        <w:jc w:val="center"/>
        <w:rPr>
          <w:rFonts w:hint="default" w:ascii="Arial" w:hAnsi="Arial" w:cs="Arial"/>
          <w:b/>
          <w:bCs/>
          <w:sz w:val="36"/>
          <w:szCs w:val="36"/>
          <w:lang w:val="en-US"/>
        </w:rPr>
      </w:pPr>
      <w:r>
        <w:rPr>
          <w:rFonts w:ascii="宋体" w:hAnsi="宋体" w:eastAsia="宋体" w:cs="方正仿宋简体"/>
          <w:kern w:val="2"/>
          <w:sz w:val="24"/>
          <w:szCs w:val="24"/>
        </w:rPr>
        <w:t>编号</w:t>
      </w:r>
      <w:r>
        <w:rPr>
          <w:rFonts w:hint="eastAsia" w:ascii="宋体" w:hAnsi="宋体" w:eastAsia="宋体" w:cs="方正仿宋简体"/>
          <w:kern w:val="2"/>
          <w:sz w:val="24"/>
          <w:szCs w:val="24"/>
        </w:rPr>
        <w:t>：</w:t>
      </w:r>
      <w:r>
        <w:rPr>
          <w:rFonts w:ascii="宋体" w:hAnsi="宋体" w:eastAsia="宋体" w:cs="方正仿宋简体"/>
          <w:kern w:val="2"/>
          <w:sz w:val="24"/>
          <w:szCs w:val="24"/>
        </w:rPr>
        <w:t xml:space="preserve"> </w:t>
      </w:r>
      <w:r>
        <w:rPr>
          <w:rFonts w:hint="eastAsia" w:ascii="黑体" w:hAnsi="黑体" w:eastAsia="黑体" w:cs="黑体"/>
          <w:color w:val="000000"/>
          <w:sz w:val="28"/>
          <w:szCs w:val="28"/>
          <w:lang w:val="en-US" w:eastAsia="zh-CN"/>
        </w:rPr>
        <w:t>GHJX-2022-73</w:t>
      </w:r>
      <w:bookmarkStart w:id="0" w:name="_GoBack"/>
      <w:bookmarkEnd w:id="0"/>
    </w:p>
    <w:p>
      <w:pPr>
        <w:pStyle w:val="15"/>
        <w:framePr w:w="0" w:hRule="auto" w:hSpace="0" w:wrap="auto" w:vAnchor="margin" w:hAnchor="text" w:xAlign="left" w:yAlign="inline"/>
        <w:spacing w:before="156" w:after="156" w:line="200" w:lineRule="exact"/>
        <w:ind w:right="641" w:firstLine="480"/>
        <w:jc w:val="center"/>
        <w:rPr>
          <w:rFonts w:ascii="宋体" w:hAnsi="宋体" w:eastAsia="宋体" w:cs="方正仿宋简体"/>
          <w:kern w:val="2"/>
          <w:sz w:val="24"/>
          <w:szCs w:val="24"/>
        </w:rPr>
      </w:pPr>
    </w:p>
    <w:p>
      <w:pPr>
        <w:pStyle w:val="16"/>
        <w:snapToGrid w:val="0"/>
        <w:spacing w:line="560" w:lineRule="exact"/>
        <w:ind w:left="1" w:firstLine="422" w:firstLineChars="151"/>
        <w:rPr>
          <w:rFonts w:ascii="黑体" w:hAnsi="黑体" w:eastAsia="黑体" w:cs="方正仿宋简体"/>
          <w:color w:val="000000"/>
          <w:sz w:val="28"/>
          <w:szCs w:val="28"/>
        </w:rPr>
      </w:pPr>
      <w:r>
        <w:rPr>
          <w:rFonts w:hint="eastAsia" w:ascii="黑体" w:hAnsi="黑体" w:eastAsia="黑体" w:cs="方正仿宋简体"/>
          <w:color w:val="000000"/>
          <w:sz w:val="28"/>
          <w:szCs w:val="28"/>
        </w:rPr>
        <w:t>1. 抽样方法</w:t>
      </w:r>
    </w:p>
    <w:p>
      <w:pPr>
        <w:spacing w:line="560" w:lineRule="exact"/>
        <w:ind w:firstLine="480" w:firstLineChars="200"/>
        <w:rPr>
          <w:rFonts w:ascii="宋体" w:hAnsi="宋体" w:cs="方正仿宋简体"/>
          <w:color w:val="000000"/>
          <w:sz w:val="24"/>
        </w:rPr>
      </w:pPr>
      <w:r>
        <w:rPr>
          <w:rFonts w:hint="eastAsia" w:ascii="宋体" w:hAnsi="宋体" w:cs="方正仿宋简体"/>
          <w:color w:val="000000"/>
          <w:sz w:val="24"/>
        </w:rPr>
        <w:t>以随机抽样的方式在被抽样生产者、销售者的待销产品中抽取。</w:t>
      </w:r>
    </w:p>
    <w:p>
      <w:pPr>
        <w:spacing w:line="560" w:lineRule="exact"/>
        <w:ind w:firstLine="480" w:firstLineChars="200"/>
        <w:rPr>
          <w:rFonts w:ascii="宋体" w:hAnsi="宋体" w:cs="方正仿宋简体"/>
          <w:color w:val="000000"/>
          <w:sz w:val="24"/>
        </w:rPr>
      </w:pPr>
      <w:r>
        <w:rPr>
          <w:rFonts w:hint="eastAsia" w:ascii="宋体" w:hAnsi="宋体" w:cs="方正仿宋简体"/>
          <w:color w:val="000000"/>
          <w:sz w:val="24"/>
        </w:rPr>
        <w:t>随机数一般可使用随机数表、骰子或扑克牌等方法产生。</w:t>
      </w:r>
    </w:p>
    <w:p>
      <w:pPr>
        <w:spacing w:line="560" w:lineRule="exact"/>
        <w:ind w:firstLine="480" w:firstLineChars="200"/>
        <w:rPr>
          <w:rFonts w:ascii="宋体" w:hAnsi="宋体" w:cs="方正仿宋简体"/>
          <w:color w:val="000000"/>
          <w:sz w:val="24"/>
        </w:rPr>
      </w:pPr>
      <w:r>
        <w:rPr>
          <w:rFonts w:hint="eastAsia" w:ascii="宋体" w:hAnsi="宋体" w:cs="方正仿宋简体"/>
          <w:color w:val="000000"/>
          <w:sz w:val="24"/>
        </w:rPr>
        <w:t>每批次抽取样品数量为2个，其中检验用样品1个，备用样品1个，非特殊情况，备样留存在被抽查生产企业、经销单位，由其妥善保存。</w:t>
      </w:r>
    </w:p>
    <w:p>
      <w:pPr>
        <w:snapToGrid w:val="0"/>
        <w:spacing w:line="560" w:lineRule="exact"/>
        <w:ind w:firstLine="420" w:firstLineChars="150"/>
        <w:rPr>
          <w:rFonts w:ascii="黑体" w:hAnsi="黑体" w:eastAsia="黑体" w:cs="方正仿宋简体"/>
          <w:color w:val="000000"/>
          <w:sz w:val="28"/>
          <w:szCs w:val="28"/>
        </w:rPr>
      </w:pPr>
      <w:r>
        <w:rPr>
          <w:rFonts w:hint="eastAsia" w:ascii="黑体" w:hAnsi="黑体" w:eastAsia="黑体" w:cs="方正仿宋简体"/>
          <w:color w:val="000000"/>
          <w:sz w:val="28"/>
          <w:szCs w:val="28"/>
        </w:rPr>
        <w:t>2. 检验依据</w:t>
      </w:r>
    </w:p>
    <w:p>
      <w:pPr>
        <w:snapToGrid w:val="0"/>
        <w:spacing w:line="500" w:lineRule="exact"/>
        <w:jc w:val="center"/>
        <w:rPr>
          <w:rFonts w:ascii="宋体" w:hAnsi="宋体" w:cs="方正仿宋简体"/>
          <w:b/>
          <w:color w:val="000000"/>
          <w:sz w:val="24"/>
        </w:rPr>
      </w:pPr>
      <w:r>
        <w:rPr>
          <w:rFonts w:hint="eastAsia" w:ascii="宋体" w:hAnsi="宋体" w:cs="方正仿宋简体"/>
          <w:b/>
          <w:color w:val="000000"/>
          <w:sz w:val="24"/>
        </w:rPr>
        <w:t>储热式电热暖手器检验项目</w:t>
      </w:r>
    </w:p>
    <w:tbl>
      <w:tblPr>
        <w:tblStyle w:val="4"/>
        <w:tblW w:w="40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5"/>
        <w:gridCol w:w="3506"/>
        <w:gridCol w:w="2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blHeader/>
          <w:jc w:val="center"/>
        </w:trPr>
        <w:tc>
          <w:tcPr>
            <w:tcW w:w="1115" w:type="dxa"/>
            <w:vAlign w:val="center"/>
          </w:tcPr>
          <w:p>
            <w:pPr>
              <w:snapToGrid w:val="0"/>
              <w:spacing w:line="500" w:lineRule="exact"/>
              <w:jc w:val="center"/>
              <w:rPr>
                <w:rFonts w:ascii="宋体" w:cs="方正仿宋简体"/>
                <w:b/>
                <w:color w:val="000000"/>
                <w:sz w:val="24"/>
              </w:rPr>
            </w:pPr>
            <w:r>
              <w:rPr>
                <w:rFonts w:hint="eastAsia" w:ascii="宋体" w:hAnsi="宋体" w:cs="方正仿宋简体"/>
                <w:b/>
                <w:color w:val="000000"/>
                <w:sz w:val="24"/>
              </w:rPr>
              <w:t>序号</w:t>
            </w:r>
          </w:p>
        </w:tc>
        <w:tc>
          <w:tcPr>
            <w:tcW w:w="3506" w:type="dxa"/>
            <w:vAlign w:val="center"/>
          </w:tcPr>
          <w:p>
            <w:pPr>
              <w:snapToGrid w:val="0"/>
              <w:spacing w:line="500" w:lineRule="exact"/>
              <w:jc w:val="center"/>
              <w:rPr>
                <w:rFonts w:ascii="宋体" w:cs="方正仿宋简体"/>
                <w:b/>
                <w:color w:val="000000"/>
                <w:sz w:val="24"/>
              </w:rPr>
            </w:pPr>
            <w:r>
              <w:rPr>
                <w:rFonts w:hint="eastAsia" w:ascii="宋体" w:hAnsi="宋体" w:cs="方正仿宋简体"/>
                <w:b/>
                <w:color w:val="000000"/>
                <w:sz w:val="24"/>
              </w:rPr>
              <w:t>检验项目</w:t>
            </w:r>
          </w:p>
        </w:tc>
        <w:tc>
          <w:tcPr>
            <w:tcW w:w="2813" w:type="dxa"/>
            <w:vAlign w:val="center"/>
          </w:tcPr>
          <w:p>
            <w:pPr>
              <w:spacing w:line="500" w:lineRule="exact"/>
              <w:jc w:val="center"/>
              <w:rPr>
                <w:rFonts w:ascii="宋体" w:cs="方正仿宋简体"/>
                <w:b/>
                <w:color w:val="000000"/>
                <w:sz w:val="24"/>
              </w:rPr>
            </w:pPr>
            <w:r>
              <w:rPr>
                <w:rFonts w:hint="eastAsia" w:ascii="宋体" w:hAnsi="宋体" w:cs="方正仿宋简体"/>
                <w:b/>
                <w:color w:val="000000"/>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1115" w:type="dxa"/>
            <w:vAlign w:val="center"/>
          </w:tcPr>
          <w:p>
            <w:pPr>
              <w:numPr>
                <w:ilvl w:val="0"/>
                <w:numId w:val="1"/>
              </w:numPr>
              <w:spacing w:line="500" w:lineRule="exact"/>
              <w:ind w:left="105" w:leftChars="50" w:firstLine="0"/>
              <w:jc w:val="center"/>
              <w:rPr>
                <w:rFonts w:ascii="宋体" w:cs="方正仿宋简体"/>
                <w:color w:val="000000"/>
                <w:sz w:val="24"/>
              </w:rPr>
            </w:pPr>
          </w:p>
        </w:tc>
        <w:tc>
          <w:tcPr>
            <w:tcW w:w="3506" w:type="dxa"/>
            <w:vAlign w:val="center"/>
          </w:tcPr>
          <w:p>
            <w:pPr>
              <w:spacing w:line="500" w:lineRule="exact"/>
              <w:ind w:left="105" w:leftChars="50"/>
              <w:jc w:val="center"/>
              <w:rPr>
                <w:rFonts w:ascii="宋体" w:cs="方正仿宋简体"/>
                <w:color w:val="000000"/>
                <w:sz w:val="24"/>
              </w:rPr>
            </w:pPr>
            <w:r>
              <w:rPr>
                <w:rFonts w:hint="eastAsia" w:ascii="宋体" w:hAnsi="宋体" w:cs="方正仿宋简体"/>
                <w:color w:val="000000"/>
                <w:sz w:val="24"/>
              </w:rPr>
              <w:t>标志和说明</w:t>
            </w:r>
          </w:p>
        </w:tc>
        <w:tc>
          <w:tcPr>
            <w:tcW w:w="2813" w:type="dxa"/>
            <w:vAlign w:val="center"/>
          </w:tcPr>
          <w:p>
            <w:pPr>
              <w:spacing w:line="500" w:lineRule="exact"/>
              <w:jc w:val="center"/>
              <w:rPr>
                <w:rFonts w:ascii="宋体" w:cs="方正仿宋简体"/>
                <w:color w:val="000000"/>
                <w:sz w:val="24"/>
              </w:rPr>
            </w:pPr>
            <w:r>
              <w:rPr>
                <w:rFonts w:ascii="宋体" w:hAnsi="宋体" w:cs="方正仿宋简体"/>
                <w:color w:val="000000"/>
                <w:sz w:val="24"/>
              </w:rPr>
              <w:t>GB 4706.1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8" w:hRule="atLeast"/>
          <w:jc w:val="center"/>
        </w:trPr>
        <w:tc>
          <w:tcPr>
            <w:tcW w:w="1115" w:type="dxa"/>
            <w:vAlign w:val="center"/>
          </w:tcPr>
          <w:p>
            <w:pPr>
              <w:numPr>
                <w:ilvl w:val="0"/>
                <w:numId w:val="1"/>
              </w:numPr>
              <w:spacing w:line="500" w:lineRule="exact"/>
              <w:ind w:left="105" w:leftChars="50" w:firstLine="0"/>
              <w:jc w:val="center"/>
              <w:rPr>
                <w:rFonts w:ascii="宋体" w:cs="方正仿宋简体"/>
                <w:color w:val="000000"/>
                <w:sz w:val="24"/>
              </w:rPr>
            </w:pPr>
          </w:p>
        </w:tc>
        <w:tc>
          <w:tcPr>
            <w:tcW w:w="3506" w:type="dxa"/>
            <w:vAlign w:val="center"/>
          </w:tcPr>
          <w:p>
            <w:pPr>
              <w:spacing w:line="500" w:lineRule="exact"/>
              <w:ind w:left="105" w:leftChars="50"/>
              <w:jc w:val="center"/>
              <w:rPr>
                <w:rFonts w:ascii="宋体" w:cs="方正仿宋简体"/>
                <w:color w:val="000000"/>
                <w:sz w:val="24"/>
              </w:rPr>
            </w:pPr>
            <w:r>
              <w:rPr>
                <w:rFonts w:hint="eastAsia" w:ascii="宋体" w:hAnsi="宋体" w:cs="方正仿宋简体"/>
                <w:color w:val="000000"/>
                <w:sz w:val="24"/>
              </w:rPr>
              <w:t>输入功率</w:t>
            </w:r>
          </w:p>
        </w:tc>
        <w:tc>
          <w:tcPr>
            <w:tcW w:w="2813" w:type="dxa"/>
            <w:vAlign w:val="center"/>
          </w:tcPr>
          <w:p>
            <w:pPr>
              <w:spacing w:line="500" w:lineRule="exact"/>
              <w:jc w:val="center"/>
              <w:rPr>
                <w:rFonts w:ascii="宋体" w:hAnsi="宋体" w:cs="方正仿宋简体"/>
                <w:color w:val="000000"/>
                <w:sz w:val="24"/>
              </w:rPr>
            </w:pPr>
            <w:r>
              <w:rPr>
                <w:rFonts w:ascii="宋体" w:hAnsi="宋体" w:cs="方正仿宋简体"/>
                <w:color w:val="000000"/>
                <w:sz w:val="24"/>
              </w:rPr>
              <w:t>GB 4706.1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1115" w:type="dxa"/>
            <w:vAlign w:val="center"/>
          </w:tcPr>
          <w:p>
            <w:pPr>
              <w:numPr>
                <w:ilvl w:val="0"/>
                <w:numId w:val="1"/>
              </w:numPr>
              <w:spacing w:line="500" w:lineRule="exact"/>
              <w:ind w:left="105" w:leftChars="50" w:firstLine="0"/>
              <w:jc w:val="center"/>
              <w:rPr>
                <w:rFonts w:ascii="宋体" w:cs="方正仿宋简体"/>
                <w:color w:val="000000"/>
                <w:sz w:val="24"/>
              </w:rPr>
            </w:pPr>
          </w:p>
        </w:tc>
        <w:tc>
          <w:tcPr>
            <w:tcW w:w="3506" w:type="dxa"/>
            <w:vAlign w:val="center"/>
          </w:tcPr>
          <w:p>
            <w:pPr>
              <w:spacing w:line="500" w:lineRule="exact"/>
              <w:ind w:left="105" w:leftChars="50"/>
              <w:jc w:val="center"/>
              <w:rPr>
                <w:rFonts w:ascii="宋体" w:cs="方正仿宋简体"/>
                <w:color w:val="000000"/>
                <w:sz w:val="24"/>
              </w:rPr>
            </w:pPr>
            <w:r>
              <w:rPr>
                <w:rFonts w:hint="eastAsia" w:ascii="宋体" w:hAnsi="宋体" w:cs="方正仿宋简体"/>
                <w:color w:val="000000"/>
                <w:sz w:val="24"/>
              </w:rPr>
              <w:t>电源连接和外部软线</w:t>
            </w:r>
          </w:p>
        </w:tc>
        <w:tc>
          <w:tcPr>
            <w:tcW w:w="2813" w:type="dxa"/>
            <w:vAlign w:val="center"/>
          </w:tcPr>
          <w:p>
            <w:pPr>
              <w:spacing w:line="500" w:lineRule="exact"/>
              <w:jc w:val="center"/>
              <w:rPr>
                <w:rFonts w:ascii="宋体" w:hAnsi="宋体" w:cs="方正仿宋简体"/>
                <w:color w:val="000000"/>
                <w:sz w:val="24"/>
              </w:rPr>
            </w:pPr>
            <w:r>
              <w:rPr>
                <w:rFonts w:ascii="宋体" w:hAnsi="宋体" w:cs="方正仿宋简体"/>
                <w:color w:val="000000"/>
                <w:sz w:val="24"/>
              </w:rPr>
              <w:t>GB 4706.1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1115" w:type="dxa"/>
            <w:vAlign w:val="center"/>
          </w:tcPr>
          <w:p>
            <w:pPr>
              <w:numPr>
                <w:ilvl w:val="0"/>
                <w:numId w:val="1"/>
              </w:numPr>
              <w:spacing w:line="500" w:lineRule="exact"/>
              <w:ind w:left="105" w:leftChars="50" w:firstLine="0"/>
              <w:jc w:val="center"/>
              <w:rPr>
                <w:rFonts w:ascii="宋体" w:cs="方正仿宋简体"/>
                <w:color w:val="000000"/>
                <w:sz w:val="24"/>
              </w:rPr>
            </w:pPr>
          </w:p>
        </w:tc>
        <w:tc>
          <w:tcPr>
            <w:tcW w:w="3506" w:type="dxa"/>
            <w:vAlign w:val="center"/>
          </w:tcPr>
          <w:p>
            <w:pPr>
              <w:spacing w:line="500" w:lineRule="exact"/>
              <w:ind w:left="105" w:leftChars="50"/>
              <w:jc w:val="center"/>
              <w:rPr>
                <w:rFonts w:ascii="宋体" w:cs="方正仿宋简体"/>
                <w:color w:val="000000"/>
                <w:sz w:val="24"/>
              </w:rPr>
            </w:pPr>
            <w:r>
              <w:rPr>
                <w:rFonts w:hint="eastAsia" w:ascii="宋体" w:hAnsi="宋体" w:cs="方正仿宋简体"/>
                <w:color w:val="000000"/>
                <w:sz w:val="24"/>
              </w:rPr>
              <w:t>结构</w:t>
            </w:r>
          </w:p>
        </w:tc>
        <w:tc>
          <w:tcPr>
            <w:tcW w:w="2813" w:type="dxa"/>
            <w:vAlign w:val="center"/>
          </w:tcPr>
          <w:p>
            <w:pPr>
              <w:spacing w:line="500" w:lineRule="exact"/>
              <w:jc w:val="center"/>
              <w:rPr>
                <w:rFonts w:ascii="宋体" w:cs="方正仿宋简体"/>
                <w:color w:val="000000"/>
                <w:sz w:val="24"/>
              </w:rPr>
            </w:pPr>
            <w:r>
              <w:rPr>
                <w:rFonts w:ascii="宋体" w:hAnsi="宋体" w:cs="方正仿宋简体"/>
                <w:color w:val="000000"/>
                <w:sz w:val="24"/>
              </w:rPr>
              <w:t>GB 4706.1</w:t>
            </w:r>
          </w:p>
        </w:tc>
      </w:tr>
    </w:tbl>
    <w:p>
      <w:pPr>
        <w:spacing w:line="560" w:lineRule="exact"/>
        <w:ind w:firstLine="480" w:firstLineChars="200"/>
        <w:rPr>
          <w:rFonts w:ascii="宋体" w:hAnsi="宋体" w:cs="方正仿宋简体"/>
          <w:color w:val="000000"/>
          <w:sz w:val="24"/>
        </w:rPr>
      </w:pPr>
      <w:r>
        <w:rPr>
          <w:rFonts w:hint="eastAsia" w:ascii="宋体" w:hAnsi="宋体" w:cs="方正仿宋简体"/>
          <w:color w:val="000000"/>
          <w:sz w:val="24"/>
        </w:rPr>
        <w:t>注：1.上表所列检验项目是有关法律法规、标准等规定的，重点涉及健康、安全、节能、环保以及消费者、有关组织反映有质量问题的重要项目。</w:t>
      </w:r>
    </w:p>
    <w:p>
      <w:pPr>
        <w:spacing w:line="560" w:lineRule="exact"/>
        <w:ind w:firstLine="960" w:firstLineChars="400"/>
        <w:rPr>
          <w:rFonts w:ascii="宋体" w:hAnsi="宋体" w:cs="方正仿宋简体"/>
          <w:color w:val="000000"/>
          <w:sz w:val="24"/>
        </w:rPr>
      </w:pPr>
      <w:r>
        <w:rPr>
          <w:rFonts w:hint="eastAsia" w:ascii="宋体" w:hAnsi="宋体" w:cs="方正仿宋简体"/>
          <w:color w:val="000000"/>
          <w:sz w:val="24"/>
        </w:rPr>
        <w:t>2.检验方法包括相关产品标准及试验方法标准。</w:t>
      </w:r>
    </w:p>
    <w:p>
      <w:pPr>
        <w:spacing w:line="560" w:lineRule="exact"/>
        <w:ind w:firstLine="960" w:firstLineChars="400"/>
        <w:rPr>
          <w:rFonts w:ascii="宋体" w:hAnsi="宋体" w:cs="方正仿宋简体"/>
          <w:color w:val="000000"/>
          <w:sz w:val="24"/>
        </w:rPr>
      </w:pPr>
      <w:r>
        <w:rPr>
          <w:rFonts w:hint="eastAsia" w:ascii="宋体" w:hAnsi="宋体" w:cs="方正仿宋简体"/>
          <w:color w:val="000000"/>
          <w:sz w:val="24"/>
        </w:rPr>
        <w:t>3.凡是注日期的文件，其随后所有的修改单（不包括勘误的内容）或修订版不适用于本细则。凡是不注日期的文件，其最新版本适用于本细则。</w:t>
      </w:r>
    </w:p>
    <w:p>
      <w:pPr>
        <w:spacing w:line="600" w:lineRule="exact"/>
        <w:ind w:left="2" w:firstLine="991" w:firstLineChars="413"/>
        <w:rPr>
          <w:rFonts w:ascii="宋体" w:cs="方正仿宋简体"/>
          <w:color w:val="000000"/>
          <w:sz w:val="24"/>
        </w:rPr>
      </w:pPr>
      <w:r>
        <w:rPr>
          <w:rFonts w:hint="eastAsia" w:ascii="宋体" w:cs="方正仿宋简体"/>
          <w:sz w:val="24"/>
        </w:rPr>
        <w:t>4.执行企业标准、团体标准、地方标准的产品，</w:t>
      </w:r>
      <w:r>
        <w:rPr>
          <w:rFonts w:hint="eastAsia" w:ascii="宋体" w:cs="方正仿宋简体"/>
          <w:color w:val="000000"/>
          <w:sz w:val="24"/>
        </w:rPr>
        <w:t>检验项目参照上述内容执行。</w:t>
      </w:r>
    </w:p>
    <w:p>
      <w:pPr>
        <w:snapToGrid w:val="0"/>
        <w:spacing w:line="560" w:lineRule="exact"/>
        <w:ind w:firstLine="560" w:firstLineChars="200"/>
        <w:rPr>
          <w:rFonts w:ascii="黑体" w:hAnsi="黑体" w:eastAsia="黑体" w:cs="方正仿宋简体"/>
          <w:color w:val="000000"/>
          <w:sz w:val="28"/>
          <w:szCs w:val="28"/>
        </w:rPr>
      </w:pPr>
      <w:r>
        <w:rPr>
          <w:rFonts w:ascii="黑体" w:hAnsi="黑体" w:eastAsia="黑体" w:cs="方正仿宋简体"/>
          <w:color w:val="000000"/>
          <w:sz w:val="28"/>
          <w:szCs w:val="28"/>
        </w:rPr>
        <w:t>3.</w:t>
      </w:r>
      <w:r>
        <w:rPr>
          <w:rFonts w:hint="eastAsia" w:ascii="黑体" w:hAnsi="黑体" w:eastAsia="黑体" w:cs="方正仿宋简体"/>
          <w:color w:val="000000"/>
          <w:sz w:val="28"/>
          <w:szCs w:val="28"/>
        </w:rPr>
        <w:t xml:space="preserve"> 判定规则</w:t>
      </w:r>
    </w:p>
    <w:p>
      <w:pPr>
        <w:spacing w:line="560" w:lineRule="exact"/>
        <w:ind w:firstLine="480" w:firstLineChars="200"/>
        <w:rPr>
          <w:rFonts w:ascii="宋体" w:cs="方正仿宋简体"/>
          <w:color w:val="000000"/>
          <w:sz w:val="24"/>
        </w:rPr>
      </w:pPr>
      <w:r>
        <w:rPr>
          <w:rFonts w:ascii="宋体" w:hAnsi="宋体" w:cs="方正仿宋简体"/>
          <w:color w:val="000000"/>
          <w:sz w:val="24"/>
        </w:rPr>
        <w:t>3.1</w:t>
      </w:r>
      <w:r>
        <w:rPr>
          <w:rFonts w:hint="eastAsia" w:ascii="宋体" w:hAnsi="宋体" w:cs="方正仿宋简体"/>
          <w:color w:val="000000"/>
          <w:sz w:val="24"/>
        </w:rPr>
        <w:t xml:space="preserve"> 依据标准</w:t>
      </w:r>
    </w:p>
    <w:p>
      <w:pPr>
        <w:spacing w:line="560" w:lineRule="exact"/>
        <w:ind w:firstLine="480" w:firstLineChars="200"/>
        <w:rPr>
          <w:rFonts w:ascii="宋体" w:cs="方正仿宋简体"/>
          <w:color w:val="000000"/>
          <w:sz w:val="24"/>
        </w:rPr>
      </w:pPr>
      <w:r>
        <w:rPr>
          <w:rFonts w:ascii="宋体" w:hAnsi="宋体" w:cs="方正仿宋简体"/>
          <w:color w:val="000000"/>
          <w:sz w:val="24"/>
        </w:rPr>
        <w:t>GB 4706.1</w:t>
      </w:r>
      <w:r>
        <w:rPr>
          <w:rFonts w:hint="eastAsia" w:ascii="宋体" w:hAnsi="宋体" w:cs="方正仿宋简体"/>
          <w:color w:val="000000"/>
          <w:sz w:val="24"/>
        </w:rPr>
        <w:t>-</w:t>
      </w:r>
      <w:r>
        <w:rPr>
          <w:rFonts w:ascii="宋体" w:hAnsi="宋体" w:cs="方正仿宋简体"/>
          <w:color w:val="000000"/>
          <w:sz w:val="24"/>
        </w:rPr>
        <w:t>2005</w:t>
      </w:r>
      <w:r>
        <w:rPr>
          <w:rFonts w:hint="eastAsia" w:ascii="宋体" w:hAnsi="宋体" w:cs="方正仿宋简体"/>
          <w:color w:val="000000"/>
          <w:sz w:val="24"/>
        </w:rPr>
        <w:t xml:space="preserve">   家用和类似用途电器的安全　第</w:t>
      </w:r>
      <w:r>
        <w:rPr>
          <w:rFonts w:ascii="宋体" w:hAnsi="宋体" w:cs="方正仿宋简体"/>
          <w:color w:val="000000"/>
          <w:sz w:val="24"/>
        </w:rPr>
        <w:t>1</w:t>
      </w:r>
      <w:r>
        <w:rPr>
          <w:rFonts w:hint="eastAsia" w:ascii="宋体" w:hAnsi="宋体" w:cs="方正仿宋简体"/>
          <w:color w:val="000000"/>
          <w:sz w:val="24"/>
        </w:rPr>
        <w:t>部分：通用要求</w:t>
      </w:r>
    </w:p>
    <w:p>
      <w:pPr>
        <w:spacing w:line="560" w:lineRule="exact"/>
        <w:ind w:firstLine="480" w:firstLineChars="200"/>
        <w:rPr>
          <w:rFonts w:ascii="宋体" w:cs="方正仿宋简体"/>
          <w:color w:val="000000"/>
          <w:sz w:val="24"/>
        </w:rPr>
      </w:pPr>
      <w:r>
        <w:rPr>
          <w:rFonts w:ascii="宋体" w:hAnsi="宋体" w:cs="方正仿宋简体"/>
          <w:color w:val="000000"/>
          <w:sz w:val="24"/>
        </w:rPr>
        <w:t>GB 4706.99</w:t>
      </w:r>
      <w:r>
        <w:rPr>
          <w:rFonts w:hint="eastAsia" w:ascii="宋体" w:hAnsi="宋体" w:cs="方正仿宋简体"/>
          <w:color w:val="000000"/>
          <w:sz w:val="24"/>
        </w:rPr>
        <w:t>-</w:t>
      </w:r>
      <w:r>
        <w:rPr>
          <w:rFonts w:ascii="宋体" w:hAnsi="宋体" w:cs="方正仿宋简体"/>
          <w:color w:val="000000"/>
          <w:sz w:val="24"/>
        </w:rPr>
        <w:t>2009</w:t>
      </w:r>
      <w:r>
        <w:rPr>
          <w:rFonts w:hint="eastAsia" w:ascii="宋体" w:hAnsi="宋体" w:cs="方正仿宋简体"/>
          <w:color w:val="000000"/>
          <w:sz w:val="24"/>
        </w:rPr>
        <w:t xml:space="preserve">   家用和类似用途电器的安全</w:t>
      </w:r>
      <w:r>
        <w:rPr>
          <w:rFonts w:ascii="宋体" w:hAnsi="宋体" w:cs="方正仿宋简体"/>
          <w:color w:val="000000"/>
          <w:sz w:val="24"/>
        </w:rPr>
        <w:t xml:space="preserve"> </w:t>
      </w:r>
      <w:r>
        <w:rPr>
          <w:rFonts w:hint="eastAsia" w:ascii="宋体" w:hAnsi="宋体" w:cs="方正仿宋简体"/>
          <w:color w:val="000000"/>
          <w:sz w:val="24"/>
        </w:rPr>
        <w:t>储热式电热暖手器的特殊要求</w:t>
      </w:r>
    </w:p>
    <w:p>
      <w:pPr>
        <w:spacing w:line="560" w:lineRule="exact"/>
        <w:ind w:firstLine="480" w:firstLineChars="200"/>
        <w:rPr>
          <w:rFonts w:ascii="宋体" w:hAnsi="宋体" w:cs="方正仿宋简体"/>
          <w:color w:val="000000"/>
          <w:sz w:val="24"/>
        </w:rPr>
      </w:pPr>
      <w:r>
        <w:rPr>
          <w:rFonts w:ascii="宋体" w:hAnsi="宋体" w:cs="方正仿宋简体"/>
          <w:color w:val="000000"/>
          <w:sz w:val="24"/>
        </w:rPr>
        <w:t>现行有效的企业标准、团体标准、地方标准及产品明示质量要求。</w:t>
      </w:r>
    </w:p>
    <w:p>
      <w:pPr>
        <w:spacing w:line="560" w:lineRule="exact"/>
        <w:ind w:firstLine="480" w:firstLineChars="200"/>
        <w:rPr>
          <w:rFonts w:ascii="宋体" w:hAnsi="宋体" w:cs="方正仿宋简体"/>
          <w:color w:val="000000"/>
          <w:sz w:val="24"/>
        </w:rPr>
      </w:pPr>
      <w:r>
        <w:rPr>
          <w:rFonts w:hint="eastAsia" w:ascii="宋体" w:hAnsi="宋体" w:cs="方正仿宋简体"/>
          <w:color w:val="000000"/>
          <w:sz w:val="24"/>
        </w:rPr>
        <w:t>3.2判定原则</w:t>
      </w:r>
    </w:p>
    <w:p>
      <w:pPr>
        <w:spacing w:line="600" w:lineRule="exact"/>
        <w:ind w:firstLine="480" w:firstLineChars="200"/>
        <w:rPr>
          <w:rFonts w:ascii="宋体" w:cs="方正仿宋简体"/>
          <w:color w:val="000000"/>
          <w:sz w:val="24"/>
        </w:rPr>
      </w:pPr>
      <w:r>
        <w:rPr>
          <w:rFonts w:hint="eastAsia" w:ascii="宋体" w:hAnsi="宋体" w:cs="方正仿宋简体"/>
          <w:color w:val="000000"/>
          <w:sz w:val="24"/>
        </w:rPr>
        <w:t>经检验，检验项目全部合格，判定为被抽查产品所检项目未发现不合格；检验项目中任一项或一项以上不合格，判定为被抽查产品不合格。</w:t>
      </w:r>
    </w:p>
    <w:p>
      <w:pPr>
        <w:spacing w:line="600" w:lineRule="exact"/>
        <w:ind w:firstLine="480" w:firstLineChars="200"/>
        <w:rPr>
          <w:rFonts w:ascii="宋体" w:cs="方正仿宋简体"/>
          <w:color w:val="000000"/>
          <w:sz w:val="24"/>
        </w:rPr>
      </w:pPr>
      <w:r>
        <w:rPr>
          <w:rFonts w:hint="eastAsia" w:ascii="宋体" w:hAnsi="宋体" w:cs="方正仿宋简体"/>
          <w:color w:val="000000"/>
          <w:sz w:val="24"/>
        </w:rPr>
        <w:t>若被检产品明示的质量要求高于本细则中检验项目依据的标准要求时，应按被检产品明示的质量要求判定，并在检验报告备注中进行说明。</w:t>
      </w:r>
    </w:p>
    <w:p>
      <w:pPr>
        <w:spacing w:line="600" w:lineRule="exact"/>
        <w:ind w:firstLine="480" w:firstLineChars="200"/>
        <w:rPr>
          <w:rFonts w:ascii="宋体" w:cs="方正仿宋简体"/>
          <w:color w:val="000000"/>
          <w:sz w:val="24"/>
        </w:rPr>
      </w:pPr>
      <w:r>
        <w:rPr>
          <w:rFonts w:hint="eastAsia" w:ascii="宋体" w:hAnsi="宋体" w:cs="方正仿宋简体"/>
          <w:color w:val="000000"/>
          <w:sz w:val="24"/>
        </w:rPr>
        <w:t>若被检产品明示的质量要求低于本细则中检验项目依据的强制性标准要求时，应按照强制性标准要求判定，并在检验报告备注中进行说明。</w:t>
      </w:r>
    </w:p>
    <w:p>
      <w:pPr>
        <w:spacing w:line="600" w:lineRule="exact"/>
        <w:ind w:firstLine="480" w:firstLineChars="200"/>
        <w:rPr>
          <w:rFonts w:ascii="宋体" w:cs="方正仿宋简体"/>
          <w:color w:val="000000"/>
          <w:sz w:val="24"/>
        </w:rPr>
      </w:pPr>
      <w:r>
        <w:rPr>
          <w:rFonts w:hint="eastAsia" w:ascii="宋体" w:hAnsi="宋体" w:cs="方正仿宋简体"/>
          <w:color w:val="000000"/>
          <w:sz w:val="24"/>
        </w:rPr>
        <w:t>若被检产品明示的质量要求低于或包含细则中检验项目依据的推荐性标准要求时，应以被检产品明示的质量要求判定，并在检验报告备注中进行说明。</w:t>
      </w:r>
    </w:p>
    <w:p>
      <w:pPr>
        <w:spacing w:line="600" w:lineRule="exact"/>
        <w:ind w:firstLine="480" w:firstLineChars="200"/>
        <w:rPr>
          <w:rFonts w:ascii="宋体" w:cs="方正仿宋简体"/>
          <w:color w:val="000000"/>
          <w:sz w:val="24"/>
        </w:rPr>
      </w:pPr>
      <w:r>
        <w:rPr>
          <w:rFonts w:hint="eastAsia" w:ascii="宋体" w:hAnsi="宋体" w:cs="方正仿宋简体"/>
          <w:color w:val="000000"/>
          <w:sz w:val="24"/>
        </w:rPr>
        <w:t>若被检产品明示的质量要求缺少本细则中检验项目依据的强制性标准要求时，应按照强制性标准要求判定，并在检验报告备注中进行说明。</w:t>
      </w:r>
    </w:p>
    <w:p>
      <w:pPr>
        <w:spacing w:line="600" w:lineRule="exact"/>
        <w:ind w:firstLine="480" w:firstLineChars="200"/>
        <w:rPr>
          <w:rFonts w:ascii="宋体" w:cs="方正仿宋简体"/>
          <w:color w:val="000000"/>
          <w:sz w:val="24"/>
        </w:rPr>
      </w:pPr>
      <w:r>
        <w:rPr>
          <w:rFonts w:hint="eastAsia" w:ascii="宋体" w:hAnsi="宋体" w:cs="方正仿宋简体"/>
          <w:color w:val="000000"/>
          <w:sz w:val="24"/>
        </w:rPr>
        <w:t>若被检产品明示的质量要求缺少本细则中检验项目依据的推荐性标准要求时，该项目不参与判定，并在检验报告备注中进行说明。</w:t>
      </w:r>
    </w:p>
    <w:p>
      <w:pPr>
        <w:spacing w:line="560" w:lineRule="exact"/>
        <w:ind w:firstLine="480" w:firstLineChars="200"/>
        <w:rPr>
          <w:rFonts w:ascii="宋体" w:hAnsi="宋体" w:cs="方正仿宋简体"/>
          <w:color w:val="000000"/>
          <w:sz w:val="24"/>
        </w:rPr>
      </w:pPr>
    </w:p>
    <w:p>
      <w:pPr>
        <w:spacing w:line="560" w:lineRule="exact"/>
        <w:ind w:firstLine="480" w:firstLineChars="200"/>
        <w:rPr>
          <w:rFonts w:ascii="宋体" w:cs="方正仿宋简体"/>
          <w:color w:val="000000"/>
          <w:sz w:val="24"/>
        </w:rPr>
      </w:pPr>
    </w:p>
    <w:sectPr>
      <w:headerReference r:id="rId3" w:type="default"/>
      <w:footerReference r:id="rId4" w:type="default"/>
      <w:footerReference r:id="rId5"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2</w:t>
    </w:r>
    <w:r>
      <w:rPr>
        <w:rStyle w:val="6"/>
      </w:rP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7E7781"/>
    <w:multiLevelType w:val="multilevel"/>
    <w:tmpl w:val="2D7E7781"/>
    <w:lvl w:ilvl="0" w:tentative="0">
      <w:start w:val="1"/>
      <w:numFmt w:val="decimal"/>
      <w:lvlText w:val="%1"/>
      <w:lvlJc w:val="left"/>
      <w:pPr>
        <w:ind w:left="988" w:hanging="420"/>
      </w:pPr>
      <w:rPr>
        <w:rFonts w:hint="eastAsia" w:cs="Times New Roman"/>
      </w:rPr>
    </w:lvl>
    <w:lvl w:ilvl="1" w:tentative="0">
      <w:start w:val="1"/>
      <w:numFmt w:val="lowerLetter"/>
      <w:lvlText w:val="%2)"/>
      <w:lvlJc w:val="left"/>
      <w:pPr>
        <w:ind w:left="1200" w:hanging="420"/>
      </w:pPr>
      <w:rPr>
        <w:rFonts w:cs="Times New Roman"/>
      </w:rPr>
    </w:lvl>
    <w:lvl w:ilvl="2" w:tentative="0">
      <w:start w:val="1"/>
      <w:numFmt w:val="lowerRoman"/>
      <w:lvlText w:val="%3."/>
      <w:lvlJc w:val="right"/>
      <w:pPr>
        <w:ind w:left="1620" w:hanging="420"/>
      </w:pPr>
      <w:rPr>
        <w:rFonts w:cs="Times New Roman"/>
      </w:rPr>
    </w:lvl>
    <w:lvl w:ilvl="3" w:tentative="0">
      <w:start w:val="1"/>
      <w:numFmt w:val="decimal"/>
      <w:lvlText w:val="%4."/>
      <w:lvlJc w:val="left"/>
      <w:pPr>
        <w:ind w:left="2040" w:hanging="420"/>
      </w:pPr>
      <w:rPr>
        <w:rFonts w:cs="Times New Roman"/>
      </w:rPr>
    </w:lvl>
    <w:lvl w:ilvl="4" w:tentative="0">
      <w:start w:val="1"/>
      <w:numFmt w:val="lowerLetter"/>
      <w:lvlText w:val="%5)"/>
      <w:lvlJc w:val="left"/>
      <w:pPr>
        <w:ind w:left="2460" w:hanging="420"/>
      </w:pPr>
      <w:rPr>
        <w:rFonts w:cs="Times New Roman"/>
      </w:rPr>
    </w:lvl>
    <w:lvl w:ilvl="5" w:tentative="0">
      <w:start w:val="1"/>
      <w:numFmt w:val="lowerRoman"/>
      <w:lvlText w:val="%6."/>
      <w:lvlJc w:val="right"/>
      <w:pPr>
        <w:ind w:left="2880" w:hanging="420"/>
      </w:pPr>
      <w:rPr>
        <w:rFonts w:cs="Times New Roman"/>
      </w:rPr>
    </w:lvl>
    <w:lvl w:ilvl="6" w:tentative="0">
      <w:start w:val="1"/>
      <w:numFmt w:val="decimal"/>
      <w:lvlText w:val="%7."/>
      <w:lvlJc w:val="left"/>
      <w:pPr>
        <w:ind w:left="3300" w:hanging="420"/>
      </w:pPr>
      <w:rPr>
        <w:rFonts w:cs="Times New Roman"/>
      </w:rPr>
    </w:lvl>
    <w:lvl w:ilvl="7" w:tentative="0">
      <w:start w:val="1"/>
      <w:numFmt w:val="lowerLetter"/>
      <w:lvlText w:val="%8)"/>
      <w:lvlJc w:val="left"/>
      <w:pPr>
        <w:ind w:left="3720" w:hanging="420"/>
      </w:pPr>
      <w:rPr>
        <w:rFonts w:cs="Times New Roman"/>
      </w:rPr>
    </w:lvl>
    <w:lvl w:ilvl="8" w:tentative="0">
      <w:start w:val="1"/>
      <w:numFmt w:val="lowerRoman"/>
      <w:lvlText w:val="%9."/>
      <w:lvlJc w:val="right"/>
      <w:pPr>
        <w:ind w:left="41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197712"/>
    <w:rsid w:val="00004C01"/>
    <w:rsid w:val="00054882"/>
    <w:rsid w:val="000704AB"/>
    <w:rsid w:val="00072A5C"/>
    <w:rsid w:val="00096DD5"/>
    <w:rsid w:val="000B15BC"/>
    <w:rsid w:val="000C3C86"/>
    <w:rsid w:val="000C603C"/>
    <w:rsid w:val="000C6431"/>
    <w:rsid w:val="00142B3E"/>
    <w:rsid w:val="00146CC2"/>
    <w:rsid w:val="00197712"/>
    <w:rsid w:val="001C0534"/>
    <w:rsid w:val="001F46DF"/>
    <w:rsid w:val="00270F0F"/>
    <w:rsid w:val="00306FC0"/>
    <w:rsid w:val="003314A3"/>
    <w:rsid w:val="0036619E"/>
    <w:rsid w:val="003E09D5"/>
    <w:rsid w:val="00407499"/>
    <w:rsid w:val="004561C1"/>
    <w:rsid w:val="00457775"/>
    <w:rsid w:val="00466531"/>
    <w:rsid w:val="00486EA5"/>
    <w:rsid w:val="004C790E"/>
    <w:rsid w:val="004F6728"/>
    <w:rsid w:val="00505B05"/>
    <w:rsid w:val="005244CB"/>
    <w:rsid w:val="0054305D"/>
    <w:rsid w:val="00563F9F"/>
    <w:rsid w:val="00576270"/>
    <w:rsid w:val="00591F71"/>
    <w:rsid w:val="005A75FC"/>
    <w:rsid w:val="0061210C"/>
    <w:rsid w:val="006A2F5C"/>
    <w:rsid w:val="006B78C5"/>
    <w:rsid w:val="006C6B61"/>
    <w:rsid w:val="006C775A"/>
    <w:rsid w:val="00782EF7"/>
    <w:rsid w:val="00794A9C"/>
    <w:rsid w:val="007B66F2"/>
    <w:rsid w:val="007D16C6"/>
    <w:rsid w:val="008167BF"/>
    <w:rsid w:val="008646C9"/>
    <w:rsid w:val="008D3355"/>
    <w:rsid w:val="00914D7E"/>
    <w:rsid w:val="00942EDA"/>
    <w:rsid w:val="00963CC9"/>
    <w:rsid w:val="009D4E8E"/>
    <w:rsid w:val="009D6A31"/>
    <w:rsid w:val="009E6816"/>
    <w:rsid w:val="00A71374"/>
    <w:rsid w:val="00AC131B"/>
    <w:rsid w:val="00B065C0"/>
    <w:rsid w:val="00B669CA"/>
    <w:rsid w:val="00BA1A35"/>
    <w:rsid w:val="00C105C1"/>
    <w:rsid w:val="00C55624"/>
    <w:rsid w:val="00C60636"/>
    <w:rsid w:val="00C76604"/>
    <w:rsid w:val="00C82740"/>
    <w:rsid w:val="00D229C6"/>
    <w:rsid w:val="00D84B3C"/>
    <w:rsid w:val="00DC0954"/>
    <w:rsid w:val="00E26A32"/>
    <w:rsid w:val="00E279F3"/>
    <w:rsid w:val="00E46690"/>
    <w:rsid w:val="00E64006"/>
    <w:rsid w:val="00E86AB3"/>
    <w:rsid w:val="00ED712D"/>
    <w:rsid w:val="00F14FCC"/>
    <w:rsid w:val="00F33218"/>
    <w:rsid w:val="00F50B07"/>
    <w:rsid w:val="00F94870"/>
    <w:rsid w:val="63592B8B"/>
    <w:rsid w:val="79E87F9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rFonts w:ascii="Calibri" w:hAnsi="Calibri"/>
      <w:kern w:val="0"/>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character" w:styleId="6">
    <w:name w:val="page number"/>
    <w:basedOn w:val="5"/>
    <w:qFormat/>
    <w:uiPriority w:val="99"/>
    <w:rPr>
      <w:rFonts w:cs="Times New Roman"/>
    </w:rPr>
  </w:style>
  <w:style w:type="character" w:customStyle="1" w:styleId="7">
    <w:name w:val="页眉 Char"/>
    <w:link w:val="3"/>
    <w:qFormat/>
    <w:locked/>
    <w:uiPriority w:val="99"/>
    <w:rPr>
      <w:sz w:val="18"/>
    </w:rPr>
  </w:style>
  <w:style w:type="character" w:customStyle="1" w:styleId="8">
    <w:name w:val="页脚 Char"/>
    <w:link w:val="2"/>
    <w:qFormat/>
    <w:locked/>
    <w:uiPriority w:val="99"/>
    <w:rPr>
      <w:sz w:val="18"/>
    </w:rPr>
  </w:style>
  <w:style w:type="character" w:customStyle="1" w:styleId="9">
    <w:name w:val="Footer Char1"/>
    <w:basedOn w:val="5"/>
    <w:semiHidden/>
    <w:qFormat/>
    <w:uiPriority w:val="99"/>
    <w:rPr>
      <w:rFonts w:ascii="Times New Roman" w:hAnsi="Times New Roman"/>
      <w:sz w:val="18"/>
      <w:szCs w:val="18"/>
    </w:rPr>
  </w:style>
  <w:style w:type="character" w:customStyle="1" w:styleId="10">
    <w:name w:val="页脚 Char1"/>
    <w:basedOn w:val="5"/>
    <w:semiHidden/>
    <w:qFormat/>
    <w:uiPriority w:val="99"/>
    <w:rPr>
      <w:rFonts w:ascii="Times New Roman" w:hAnsi="Times New Roman" w:eastAsia="宋体" w:cs="Times New Roman"/>
      <w:sz w:val="18"/>
      <w:szCs w:val="18"/>
    </w:rPr>
  </w:style>
  <w:style w:type="character" w:customStyle="1" w:styleId="11">
    <w:name w:val="Header Char1"/>
    <w:basedOn w:val="5"/>
    <w:semiHidden/>
    <w:qFormat/>
    <w:uiPriority w:val="99"/>
    <w:rPr>
      <w:rFonts w:ascii="Times New Roman" w:hAnsi="Times New Roman"/>
      <w:sz w:val="18"/>
      <w:szCs w:val="18"/>
    </w:rPr>
  </w:style>
  <w:style w:type="character" w:customStyle="1" w:styleId="12">
    <w:name w:val="页眉 Char1"/>
    <w:basedOn w:val="5"/>
    <w:semiHidden/>
    <w:qFormat/>
    <w:uiPriority w:val="99"/>
    <w:rPr>
      <w:rFonts w:ascii="Times New Roman" w:hAnsi="Times New Roman" w:eastAsia="宋体" w:cs="Times New Roman"/>
      <w:sz w:val="18"/>
      <w:szCs w:val="18"/>
    </w:rPr>
  </w:style>
  <w:style w:type="paragraph" w:customStyle="1" w:styleId="13">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14">
    <w:name w:val="正文表标题"/>
    <w:next w:val="1"/>
    <w:qFormat/>
    <w:uiPriority w:val="99"/>
    <w:pPr>
      <w:tabs>
        <w:tab w:val="left" w:pos="360"/>
      </w:tabs>
      <w:spacing w:beforeLines="50" w:afterLines="50"/>
      <w:jc w:val="center"/>
    </w:pPr>
    <w:rPr>
      <w:rFonts w:ascii="黑体" w:hAnsi="Times New Roman" w:eastAsia="黑体" w:cs="Times New Roman"/>
      <w:kern w:val="0"/>
      <w:sz w:val="21"/>
      <w:szCs w:val="20"/>
      <w:lang w:val="en-US" w:eastAsia="zh-CN" w:bidi="ar-SA"/>
    </w:rPr>
  </w:style>
  <w:style w:type="paragraph" w:customStyle="1" w:styleId="15">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144</Words>
  <Characters>822</Characters>
  <Lines>6</Lines>
  <Paragraphs>1</Paragraphs>
  <TotalTime>0</TotalTime>
  <ScaleCrop>false</ScaleCrop>
  <LinksUpToDate>false</LinksUpToDate>
  <CharactersWithSpaces>965</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2021-01-04T06:46:00Z</dcterms:created>
  <dc:creator>杜林</dc:creator>
  <cp:lastModifiedBy>zoe</cp:lastModifiedBy>
  <dcterms:modified xsi:type="dcterms:W3CDTF">2023-01-28T07:57:15Z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