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600" w:lineRule="exact"/>
        <w:jc w:val="center"/>
        <w:outlineLvl w:val="0"/>
        <w:rPr>
          <w:rFonts w:ascii="方正小标宋简体" w:hAnsi="宋体" w:eastAsia="方正小标宋简体"/>
          <w:color w:val="000000"/>
          <w:sz w:val="52"/>
          <w:szCs w:val="52"/>
        </w:rPr>
      </w:pPr>
      <w:bookmarkStart w:id="1" w:name="_Toc15396597"/>
      <w:bookmarkStart w:id="2" w:name="_Toc15377193"/>
      <w:bookmarkStart w:id="3" w:name="_Toc15377425"/>
      <w:bookmarkStart w:id="4" w:name="_Toc15396475"/>
      <w:bookmarkStart w:id="5" w:name="_Toc15378441"/>
      <w:bookmarkStart w:id="76" w:name="_GoBack"/>
      <w:r>
        <w:rPr>
          <w:rFonts w:ascii="方正小标宋简体" w:hAnsi="宋体" w:eastAsia="方正小标宋简体"/>
          <w:color w:val="000000"/>
          <w:sz w:val="52"/>
          <w:szCs w:val="52"/>
        </w:rPr>
        <w:t>201</w:t>
      </w:r>
      <w:r>
        <w:rPr>
          <w:rFonts w:hint="eastAsia" w:ascii="方正小标宋简体" w:hAnsi="宋体" w:eastAsia="方正小标宋简体"/>
          <w:color w:val="000000"/>
          <w:sz w:val="52"/>
          <w:szCs w:val="52"/>
        </w:rPr>
        <w:t>8年度</w:t>
      </w:r>
      <w:bookmarkEnd w:id="1"/>
      <w:bookmarkEnd w:id="2"/>
      <w:bookmarkEnd w:id="3"/>
      <w:bookmarkEnd w:id="4"/>
      <w:bookmarkEnd w:id="5"/>
    </w:p>
    <w:p>
      <w:pPr>
        <w:adjustRightInd w:val="0"/>
        <w:snapToGrid w:val="0"/>
        <w:spacing w:line="600" w:lineRule="exact"/>
        <w:jc w:val="center"/>
        <w:outlineLvl w:val="0"/>
        <w:rPr>
          <w:rFonts w:ascii="方正小标宋简体" w:hAnsi="宋体" w:eastAsia="方正小标宋简体"/>
          <w:color w:val="000000"/>
          <w:sz w:val="52"/>
          <w:szCs w:val="52"/>
        </w:rPr>
      </w:pPr>
      <w:bookmarkStart w:id="6" w:name="_Toc15377194"/>
      <w:bookmarkStart w:id="7" w:name="_Toc15396476"/>
      <w:bookmarkStart w:id="8" w:name="_Toc15377426"/>
      <w:bookmarkStart w:id="9" w:name="_Toc15378442"/>
      <w:bookmarkStart w:id="10" w:name="_Toc15396598"/>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rPr>
        <w:t>广汉市交通运输管理处决算</w:t>
      </w:r>
      <w:bookmarkEnd w:id="6"/>
      <w:bookmarkEnd w:id="7"/>
      <w:bookmarkEnd w:id="8"/>
      <w:bookmarkEnd w:id="9"/>
      <w:bookmarkEnd w:id="10"/>
      <w:bookmarkEnd w:id="11"/>
      <w:bookmarkEnd w:id="76"/>
    </w:p>
    <w:p>
      <w:pPr>
        <w:adjustRightInd w:val="0"/>
        <w:snapToGrid w:val="0"/>
        <w:spacing w:line="600" w:lineRule="exact"/>
        <w:jc w:val="center"/>
        <w:outlineLvl w:val="0"/>
        <w:rPr>
          <w:rFonts w:ascii="方正小标宋简体" w:hAnsi="宋体" w:eastAsia="方正小标宋简体"/>
          <w:color w:val="000000"/>
          <w:sz w:val="52"/>
          <w:szCs w:val="52"/>
        </w:rPr>
      </w:pPr>
    </w:p>
    <w:p>
      <w:pPr>
        <w:widowControl/>
        <w:spacing w:line="600" w:lineRule="exact"/>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spacing w:line="600" w:lineRule="exact"/>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spacing w:line="600" w:lineRule="exact"/>
      </w:pPr>
      <w:r>
        <w:rPr>
          <w:rFonts w:hint="eastAsia"/>
        </w:rPr>
        <w:t>公开时间：2019年10月28日</w:t>
      </w:r>
    </w:p>
    <w:p>
      <w:pPr>
        <w:spacing w:line="600" w:lineRule="exact"/>
      </w:pPr>
    </w:p>
    <w:p>
      <w:pPr>
        <w:pStyle w:val="10"/>
        <w:spacing w:line="600" w:lineRule="exact"/>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fldChar w:fldCharType="end"/>
      </w:r>
      <w:r>
        <w:rPr>
          <w:rFonts w:hint="eastAsia"/>
        </w:rPr>
        <w:t>4</w:t>
      </w:r>
    </w:p>
    <w:p>
      <w:pPr>
        <w:pStyle w:val="11"/>
        <w:spacing w:line="600" w:lineRule="exact"/>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spacing w:line="600" w:lineRule="exact"/>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spacing w:line="600" w:lineRule="exact"/>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15</w:t>
      </w:r>
      <w:r>
        <w:fldChar w:fldCharType="end"/>
      </w:r>
      <w:r>
        <w:fldChar w:fldCharType="end"/>
      </w:r>
    </w:p>
    <w:p>
      <w:pPr>
        <w:pStyle w:val="10"/>
        <w:spacing w:line="600" w:lineRule="exact"/>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18</w:t>
      </w:r>
      <w:r>
        <w:fldChar w:fldCharType="end"/>
      </w:r>
      <w: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0"/>
        <w:spacing w:line="600" w:lineRule="exact"/>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24</w:t>
      </w:r>
      <w:r>
        <w:fldChar w:fldCharType="end"/>
      </w:r>
      <w:r>
        <w:fldChar w:fldCharType="end"/>
      </w:r>
    </w:p>
    <w:p>
      <w:pPr>
        <w:pStyle w:val="11"/>
        <w:spacing w:line="600" w:lineRule="exact"/>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spacing w:line="600" w:lineRule="exact"/>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widowControl/>
        <w:spacing w:line="600" w:lineRule="exact"/>
        <w:jc w:val="left"/>
        <w:rPr>
          <w:rFonts w:ascii="仿宋" w:hAnsi="仿宋" w:eastAsia="仿宋"/>
          <w:color w:val="000000"/>
          <w:sz w:val="24"/>
        </w:rPr>
      </w:pPr>
      <w:r>
        <w:rPr>
          <w:rFonts w:ascii="仿宋" w:hAnsi="仿宋" w:eastAsia="仿宋"/>
          <w:color w:val="000000"/>
          <w:sz w:val="24"/>
        </w:rPr>
        <w:fldChar w:fldCharType="end"/>
      </w:r>
    </w:p>
    <w:p>
      <w:pPr>
        <w:widowControl/>
        <w:spacing w:line="600" w:lineRule="exact"/>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jc w:val="center"/>
        <w:rPr>
          <w:rFonts w:ascii="黑体" w:eastAsia="黑体"/>
          <w:sz w:val="32"/>
          <w:szCs w:val="32"/>
        </w:rPr>
      </w:pPr>
      <w:r>
        <w:rPr>
          <w:rFonts w:hint="eastAsia" w:ascii="黑体" w:eastAsia="黑体"/>
          <w:sz w:val="32"/>
          <w:szCs w:val="32"/>
        </w:rPr>
        <w:t>第一部分 部门概况</w:t>
      </w:r>
      <w:bookmarkEnd w:id="12"/>
      <w:bookmarkEnd w:id="13"/>
    </w:p>
    <w:p>
      <w:pPr>
        <w:rPr>
          <w:rFonts w:ascii="黑体" w:eastAsia="黑体"/>
          <w:sz w:val="32"/>
          <w:szCs w:val="32"/>
        </w:rPr>
      </w:pPr>
      <w:bookmarkStart w:id="14" w:name="_Toc15377197"/>
      <w:bookmarkStart w:id="15" w:name="_Toc15396600"/>
      <w:r>
        <w:rPr>
          <w:rFonts w:hint="eastAsia" w:ascii="黑体" w:eastAsia="黑体"/>
          <w:sz w:val="32"/>
          <w:szCs w:val="32"/>
        </w:rPr>
        <w:t xml:space="preserve">    一、基本职能及主要工作</w:t>
      </w:r>
      <w:bookmarkEnd w:id="14"/>
      <w:bookmarkEnd w:id="15"/>
    </w:p>
    <w:p>
      <w:pPr>
        <w:ind w:firstLine="480" w:firstLineChars="150"/>
        <w:rPr>
          <w:rFonts w:ascii="黑体" w:eastAsia="黑体"/>
          <w:sz w:val="32"/>
          <w:szCs w:val="32"/>
        </w:rPr>
      </w:pPr>
      <w:bookmarkStart w:id="16" w:name="_Toc15377198"/>
      <w:bookmarkStart w:id="17" w:name="_Toc15378445"/>
      <w:r>
        <w:rPr>
          <w:rFonts w:hint="eastAsia" w:ascii="黑体" w:eastAsia="黑体"/>
          <w:sz w:val="32"/>
          <w:szCs w:val="32"/>
        </w:rPr>
        <w:t>（一）主要职能。</w:t>
      </w:r>
      <w:bookmarkEnd w:id="16"/>
      <w:bookmarkEnd w:id="17"/>
    </w:p>
    <w:p>
      <w:pPr>
        <w:spacing w:line="60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广汉市交通运输管理处依法行使对全市道路运输行业的行政管理职权，负责对全市道路旅客运输、货物运输以及道路运输站场、机动车维修等相关业务实施行政管理。</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adjustRightInd w:val="0"/>
        <w:snapToGrid w:val="0"/>
        <w:spacing w:line="600" w:lineRule="exact"/>
        <w:rPr>
          <w:rFonts w:ascii="仿宋_GB2312" w:eastAsia="仿宋_GB2312"/>
          <w:sz w:val="30"/>
          <w:szCs w:val="30"/>
        </w:rPr>
      </w:pPr>
      <w:r>
        <w:rPr>
          <w:rFonts w:hint="eastAsia" w:ascii="仿宋_GB2312" w:eastAsia="仿宋_GB2312"/>
          <w:sz w:val="30"/>
          <w:szCs w:val="30"/>
        </w:rPr>
        <w:t xml:space="preserve">    1.坚持“三把关一监督”，不断加强安全生产监管力度。积极推进“安全教育云课堂”远程教育，已有2家旅客运输企业使用该远程教育。开展“安全管理人员培训班”“安全管理人员复训班”等各类专题培训及会议20余次，全年培训2300余人次。推广执行《四川省一、二级汽车客运站反恐怖防范工作规范（试行）》，健全完善各类应急预案，定期开展应急培训和演练。加强重点营运车辆的联网联控，全市“两客一危”的车辆入网率、上线率达100%。推行“双随机</w:t>
      </w:r>
      <w:r>
        <w:rPr>
          <w:rFonts w:hint="eastAsia" w:ascii="仿宋_GB2312" w:eastAsia="仿宋_GB2312"/>
          <w:sz w:val="30"/>
          <w:szCs w:val="30"/>
          <w:lang w:eastAsia="zh-CN"/>
        </w:rPr>
        <w:t>、</w:t>
      </w:r>
      <w:r>
        <w:rPr>
          <w:rFonts w:hint="eastAsia" w:ascii="仿宋_GB2312" w:eastAsia="仿宋_GB2312"/>
          <w:sz w:val="30"/>
          <w:szCs w:val="30"/>
        </w:rPr>
        <w:t>一公开”安全监管方式，继续坚持落实安全巡查制度。做好“七节两会”“春运”、冬季及汛期等重点时段的安全监管工作，制定了安全运输工作方案和应急保障措施。全年共检查运输企业、汽车客运站点、驾培机构850户次，检查车辆6800辆次，发现并整改安全隐患20起，隐患整改率100%。全年发生交通事故一起,死亡1人。</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坚决维护道路运输生产经济秩序，不断提高运输市场监管能力。全年共出动稽查人员10000余人次，出动车辆2000余台次，在重点部位清理整顿、驱离、劝离乱停乱放机动车、电动三、四轮车3000余辆次，查处各种交通运输行政案件37件，其中查获非法营运车24辆次，客运班线车6辆次，危险品运输车1辆次，旅游包车5辆次、克隆出租车1辆次（移交公安交警）。取缔无证非法维修业户13户，处理超范围经验维修业户5户，注销《道路运输经营许可证》维修业户3户，吊销运输企业《道路运输经营许可证》1户，关停非法驾培招生点1个。做好营运驾驶员违法违规记分管理工作，共查处驾驶员违法违规记分管理11起。督促客运站严格执行“三不进站、六不出站”“安全带生命带”的管理。组织完成2017年度危险货物运输企业、客运企业、驾培机构质量信誉考核工作。加强驾培机构的日常管理，我市现有269辆教练车均已安装并使用计时终端设备，“先培后付”模式学员占比15.49%。</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坚持提高道路运输公共服务能力，不断提高公共服务水平。2018年12月29日成都至青白江区城际公交已正式开通运行。全力推进广汉城际列车客运站建设，完成投资0.4亿元。完成4个农村客运站建设工作。新改建4个汽车客运站厕所，实现2个二级客运站“厕所革命”全覆盖。继续做好2家二级汽车客运站联网售票系统建设及道路客运实名售（验）票管理工作。新增4条公交线路，新增公交里程44.5公里，顺利完成与4条公交化改造农村客运线路的无缝对接，全市公交线路达13条。在德阳各县市区率先引进新能源公交车，目前我市更新、新增纯电动公交车43辆，新建充电桩36座，总投资金额1660万元，城市公交车总量达67辆。开展“四好农村路”创建工作，服务振兴乡村战略。严格按照《四川省促进道路货运行业健康稳定发展实施方案（2017-2020年）》，做好驾驶员免费网络教育等5项降本减负实事落地落实。对全市巡游出租汽车行业实行分组管理、集中培训。实行分组管理以来，投诉量比去年同期下降37%，投诉类案件同比减少19.5%，巡游出租汽车行业服务水平、行业窗口形象得到明显提升。加快推进汽车电子健康档案系统建设，扩大“阳光维修公众服务平台”覆盖面。</w:t>
      </w:r>
      <w:r>
        <w:rPr>
          <w:rFonts w:ascii="仿宋_GB2312" w:eastAsia="仿宋_GB2312"/>
          <w:sz w:val="30"/>
          <w:szCs w:val="30"/>
        </w:rPr>
        <w:t>共接到</w:t>
      </w:r>
      <w:r>
        <w:rPr>
          <w:rFonts w:hint="eastAsia" w:ascii="仿宋_GB2312" w:eastAsia="仿宋_GB2312"/>
          <w:sz w:val="30"/>
          <w:szCs w:val="30"/>
        </w:rPr>
        <w:t>“96515”“</w:t>
      </w:r>
      <w:r>
        <w:rPr>
          <w:rFonts w:ascii="仿宋_GB2312" w:eastAsia="仿宋_GB2312"/>
          <w:sz w:val="30"/>
          <w:szCs w:val="30"/>
        </w:rPr>
        <w:t>12328</w:t>
      </w:r>
      <w:r>
        <w:rPr>
          <w:rFonts w:hint="eastAsia" w:ascii="仿宋_GB2312" w:eastAsia="仿宋_GB2312"/>
          <w:sz w:val="30"/>
          <w:szCs w:val="30"/>
        </w:rPr>
        <w:t>”、市长信箱、微博等各类</w:t>
      </w:r>
      <w:r>
        <w:rPr>
          <w:rFonts w:ascii="仿宋_GB2312" w:eastAsia="仿宋_GB2312"/>
          <w:sz w:val="30"/>
          <w:szCs w:val="30"/>
        </w:rPr>
        <w:t>投诉、咨询</w:t>
      </w:r>
      <w:r>
        <w:rPr>
          <w:rFonts w:hint="eastAsia" w:ascii="仿宋_GB2312" w:eastAsia="仿宋_GB2312"/>
          <w:sz w:val="30"/>
          <w:szCs w:val="30"/>
        </w:rPr>
        <w:t>600余件，其中有效投诉133件</w:t>
      </w:r>
      <w:r>
        <w:rPr>
          <w:rFonts w:ascii="仿宋_GB2312" w:eastAsia="仿宋_GB2312"/>
          <w:sz w:val="30"/>
          <w:szCs w:val="30"/>
        </w:rPr>
        <w:t>，投诉处理回复率</w:t>
      </w:r>
      <w:r>
        <w:rPr>
          <w:rFonts w:hint="eastAsia" w:ascii="仿宋_GB2312" w:eastAsia="仿宋_GB2312"/>
          <w:sz w:val="30"/>
          <w:szCs w:val="30"/>
        </w:rPr>
        <w:t>、满意率达</w:t>
      </w:r>
      <w:r>
        <w:rPr>
          <w:rFonts w:ascii="仿宋_GB2312" w:eastAsia="仿宋_GB2312"/>
          <w:sz w:val="30"/>
          <w:szCs w:val="30"/>
        </w:rPr>
        <w:t>100%</w:t>
      </w:r>
      <w:r>
        <w:rPr>
          <w:rFonts w:hint="eastAsia" w:ascii="仿宋_GB2312" w:eastAsia="仿宋_GB2312"/>
          <w:sz w:val="30"/>
          <w:szCs w:val="30"/>
        </w:rPr>
        <w:t>。</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坚持各项工作协调发展，全面提高综合管理水平。编制完成广汉市《四川省道路运输业“十三五”发展规划—站场规划建设项目》《广汉市城市公共交通发展规划（2018—2025）》《广汉市城乡客运一体化发展规划（2018—2025）》。顺利完成客货运输行政许可审批移交工作，同时，派员对接手单位进行了行业指导。加大重点区域、敏感地区及敏感时段对敏感群体的信息收集工作并及时稳控，防止出现重大群体性事件。加大法制宣传力度，开展广场宣传活动。利用集中整治，开展流动法制宣传，向相关从业人员宣传货车非法改装、超载超限治理、“黄标车”清理、预防艾滋病相关政策法规。深入基层和群众中开展“送法进社区”“送法到乡村”等专项活动。设置法制宣传栏，利用公交车、出租车LED、网站、手机平台等媒体营造法制氛围。邀请法律专家加强法制培训，强化法制教育。选树“最美文明驾驶员”先进典型，增强行业凝聚力和战斗力。认真做好单位财务预决算管理、各项报表、统计的报送工作。严格执行“收支两条线”、罚缴分离和政府采购及办公用品采购制度。加强固定资产管理，做好单位内部控制建设工作，建立完善单位内部控制制度。</w:t>
      </w:r>
    </w:p>
    <w:p>
      <w:pPr>
        <w:adjustRightInd w:val="0"/>
        <w:snapToGrid w:val="0"/>
        <w:spacing w:line="600" w:lineRule="exact"/>
        <w:rPr>
          <w:rFonts w:ascii="仿宋_GB2312" w:eastAsia="仿宋_GB2312"/>
          <w:sz w:val="30"/>
          <w:szCs w:val="30"/>
        </w:rPr>
      </w:pPr>
      <w:r>
        <w:rPr>
          <w:rFonts w:hint="eastAsia" w:ascii="仿宋_GB2312" w:eastAsia="仿宋_GB2312"/>
          <w:sz w:val="30"/>
          <w:szCs w:val="30"/>
        </w:rPr>
        <w:t xml:space="preserve">    5.加强党风廉政建设和精准扶贫工作，着力优化政风行风，提升干部职工责任感。不断加强干部队伍政治纪律、道德规范、法律法规教育，全年无干部党员违纪追责。结合脱贫攻坚工作，组织干部职工对西高镇金光村17户和万柏村9户贫困户进行了帮扶慰问、政策宣传、出谋划策。同时，选派单位业务骨干黄泽勇到金阳县开展为期2年的帮扶工作，为金阳县早日脱贫贡献交通人的一份力量。</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积极开展文明单位创建活动。加强网络舆情应对工作，大力宣传道路运输法律法规、职能职责、惠民政策、便民措施等，赢得社会各界的广泛支持和理解。</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6.大力开展专项行动，为社会民生保驾护航。在全市范围开展电动车专项整治、非洲猪瘟防控、机动车尾气污染、扫黑除恶、联合打击非法营运、机动车维修环境保护及污染防治等一系列专项行动，维护道路运输市场及行业的规范有序。全年共计发放扫黑除恶专项斗争宣传资料3000余份，制作悬挂宣传标语126幅，在公交车、出租汽车、汽车客运站LED滚动播放扫黑除恶专项斗争宣传标语48000余次，走访服务及社会对象5200余人次。</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狠抓行业节能环保，完成广汉市第一批机动车排放污染治理维修企业（M站）建设和审核工作，实现对大气污染物排放超标车辆的“检验、维修、复检”闭环管理。制作环境保护宣传横幅225幅。推动53户维修企业烤漆房改造升级。督促配置绿色环保汽车维修设备260台和废弃物集中分类收集设施155处，全力做好中央环保督察后续整改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7.年完成旅客运送量2637.789 万人次，旅客周转量</w:t>
      </w:r>
      <w:r>
        <w:rPr>
          <w:rFonts w:ascii="仿宋_GB2312" w:eastAsia="仿宋_GB2312"/>
          <w:sz w:val="30"/>
          <w:szCs w:val="30"/>
        </w:rPr>
        <w:t>62891.378</w:t>
      </w:r>
      <w:r>
        <w:rPr>
          <w:rFonts w:hint="eastAsia" w:ascii="仿宋_GB2312" w:eastAsia="仿宋_GB2312"/>
          <w:sz w:val="30"/>
          <w:szCs w:val="30"/>
        </w:rPr>
        <w:t>万人公里；货运量2038.385 万吨，货运周转量80154.172万吨公里，道路运输量稳中向好。同时，圆满完成春运、汛期、“7.11”特大暴雨洪灾、“十一”黄金周等重点时段的道路运输保障任务。</w:t>
      </w:r>
    </w:p>
    <w:p>
      <w:pPr>
        <w:rPr>
          <w:rFonts w:ascii="黑体" w:eastAsia="黑体"/>
          <w:sz w:val="32"/>
          <w:szCs w:val="32"/>
        </w:rPr>
      </w:pPr>
      <w:bookmarkStart w:id="20" w:name="_Toc15377200"/>
      <w:bookmarkStart w:id="21" w:name="_Toc15396601"/>
      <w:r>
        <w:rPr>
          <w:rFonts w:hint="eastAsia" w:ascii="黑体" w:eastAsia="黑体"/>
          <w:sz w:val="32"/>
          <w:szCs w:val="32"/>
        </w:rPr>
        <w:t xml:space="preserve">    二、机构设置</w:t>
      </w:r>
      <w:bookmarkEnd w:id="20"/>
      <w:bookmarkEnd w:id="21"/>
    </w:p>
    <w:p>
      <w:pPr>
        <w:spacing w:line="600" w:lineRule="exact"/>
        <w:ind w:firstLine="600"/>
        <w:rPr>
          <w:rFonts w:ascii="仿宋_GB2312" w:eastAsia="仿宋_GB2312"/>
          <w:bCs/>
          <w:color w:val="000000"/>
          <w:kern w:val="0"/>
          <w:sz w:val="32"/>
          <w:szCs w:val="32"/>
        </w:rPr>
      </w:pPr>
      <w:r>
        <w:rPr>
          <w:rFonts w:hint="eastAsia" w:ascii="仿宋_GB2312" w:eastAsia="仿宋_GB2312"/>
          <w:bCs/>
          <w:color w:val="000000"/>
          <w:kern w:val="0"/>
          <w:sz w:val="32"/>
          <w:szCs w:val="32"/>
        </w:rPr>
        <w:t>广汉市交通运输管理处是具有参公管理性质的事业单位，内设五股一室：财务股、运管股、维管股、安稽股、法规股、办公室。参公编制数40人，2018年年末实有在职人员33人，退休人员18人。财政预算纳入一级核算管理。</w:t>
      </w:r>
    </w:p>
    <w:p>
      <w:pPr>
        <w:spacing w:line="600" w:lineRule="exact"/>
        <w:ind w:firstLine="600"/>
        <w:rPr>
          <w:rFonts w:ascii="仿宋_GB2312" w:eastAsia="仿宋_GB2312"/>
          <w:bCs/>
          <w:color w:val="000000"/>
          <w:kern w:val="0"/>
          <w:sz w:val="32"/>
          <w:szCs w:val="32"/>
        </w:rPr>
      </w:pPr>
    </w:p>
    <w:p>
      <w:pPr>
        <w:jc w:val="center"/>
        <w:rPr>
          <w:rFonts w:ascii="黑体" w:eastAsia="黑体"/>
          <w:sz w:val="32"/>
          <w:szCs w:val="32"/>
        </w:rPr>
      </w:pPr>
      <w:bookmarkStart w:id="22" w:name="_Toc15377204"/>
      <w:bookmarkStart w:id="23" w:name="_Toc15396602"/>
      <w:r>
        <w:rPr>
          <w:rFonts w:hint="eastAsia" w:ascii="黑体" w:eastAsia="黑体"/>
          <w:sz w:val="32"/>
          <w:szCs w:val="32"/>
        </w:rPr>
        <w:t>第二部分 2018年度部门决算情况说明</w:t>
      </w:r>
      <w:bookmarkEnd w:id="22"/>
      <w:bookmarkEnd w:id="23"/>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00"/>
        <w:rPr>
          <w:rFonts w:ascii="仿宋_GB2312" w:eastAsia="仿宋_GB2312"/>
          <w:sz w:val="32"/>
          <w:szCs w:val="32"/>
        </w:rPr>
      </w:pPr>
      <w:r>
        <w:rPr>
          <w:rFonts w:hint="eastAsia" w:ascii="仿宋_GB2312" w:eastAsia="仿宋_GB2312"/>
          <w:sz w:val="32"/>
          <w:szCs w:val="32"/>
        </w:rPr>
        <w:t xml:space="preserve">2018年收入总计941.79万元，较上年增加51.9万元，增长5.83%，其中：2018年公共财政拨款收入941.79万元，占本年收入100%，较上年增加53.22万元，增长5.99%。             2018年支出总计941.79万元，较上年增加51.9万元，增长5.83%，其中：2018年本年支出合计927.71万元，较上年增加37.82万元，增长4.25%；年末结转14.08万元（主要是2018年调资作财政应返还额度）。与2017年相比，主要变动原因是职工正常晋级、两年晋档工资调标，按标准发放职工绩效考核奖，增加了人员经费。                     </w:t>
      </w:r>
    </w:p>
    <w:p>
      <w:pPr>
        <w:spacing w:line="600" w:lineRule="exact"/>
        <w:ind w:firstLine="600"/>
        <w:rPr>
          <w:rFonts w:ascii="黑体" w:eastAsia="黑体"/>
          <w:bCs/>
          <w:sz w:val="32"/>
          <w:szCs w:val="32"/>
        </w:rPr>
      </w:pPr>
      <w:bookmarkStart w:id="26" w:name="_Toc15377206"/>
      <w:bookmarkStart w:id="27" w:name="_Toc15396604"/>
      <w:r>
        <w:rPr>
          <w:rFonts w:hint="eastAsia" w:ascii="黑体" w:eastAsia="黑体"/>
          <w:sz w:val="32"/>
          <w:szCs w:val="32"/>
        </w:rPr>
        <w:t>二、收</w:t>
      </w:r>
      <w:r>
        <w:rPr>
          <w:rFonts w:hint="eastAsia" w:ascii="黑体" w:eastAsia="黑体"/>
          <w:bCs/>
          <w:sz w:val="32"/>
          <w:szCs w:val="32"/>
        </w:rPr>
        <w:t>入决算情况说明</w:t>
      </w:r>
      <w:bookmarkEnd w:id="26"/>
      <w:bookmarkEnd w:id="27"/>
    </w:p>
    <w:p>
      <w:pPr>
        <w:spacing w:line="600" w:lineRule="exact"/>
        <w:ind w:firstLine="6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8年本年收入合计941.79万元，其中：一般公共预算财政拨款收入941.79万元，占100</w:t>
      </w:r>
      <w:r>
        <w:rPr>
          <w:rFonts w:ascii="仿宋_GB2312" w:eastAsia="仿宋_GB2312"/>
          <w:sz w:val="32"/>
          <w:szCs w:val="32"/>
        </w:rPr>
        <w:t>%</w:t>
      </w:r>
      <w:r>
        <w:rPr>
          <w:rFonts w:hint="eastAsia" w:ascii="仿宋_GB2312" w:eastAsia="仿宋_GB2312"/>
          <w:sz w:val="32"/>
          <w:szCs w:val="32"/>
        </w:rPr>
        <w:t>；政府性基金预算财政拨款收入0万元，占0</w:t>
      </w:r>
      <w:r>
        <w:rPr>
          <w:rFonts w:ascii="仿宋_GB2312" w:eastAsia="仿宋_GB2312"/>
          <w:sz w:val="32"/>
          <w:szCs w:val="32"/>
        </w:rPr>
        <w:t>%</w:t>
      </w:r>
      <w:r>
        <w:rPr>
          <w:rFonts w:hint="eastAsia" w:ascii="仿宋_GB2312" w:eastAsia="仿宋_GB2312"/>
          <w:sz w:val="32"/>
          <w:szCs w:val="32"/>
        </w:rPr>
        <w:t>；国有资本经营预算财政拨款收入0万元，占0</w:t>
      </w:r>
      <w:r>
        <w:rPr>
          <w:rFonts w:ascii="仿宋_GB2312" w:eastAsia="仿宋_GB2312"/>
          <w:sz w:val="32"/>
          <w:szCs w:val="32"/>
        </w:rPr>
        <w:t>%</w:t>
      </w:r>
      <w:r>
        <w:rPr>
          <w:rFonts w:hint="eastAsia" w:ascii="仿宋_GB2312" w:eastAsia="仿宋_GB2312"/>
          <w:sz w:val="32"/>
          <w:szCs w:val="32"/>
        </w:rPr>
        <w:t>；事业收入0万元，占0</w:t>
      </w:r>
      <w:r>
        <w:rPr>
          <w:rFonts w:ascii="仿宋_GB2312" w:eastAsia="仿宋_GB2312"/>
          <w:sz w:val="32"/>
          <w:szCs w:val="32"/>
        </w:rPr>
        <w:t>%</w:t>
      </w:r>
      <w:r>
        <w:rPr>
          <w:rFonts w:hint="eastAsia" w:ascii="仿宋_GB2312" w:eastAsia="仿宋_GB2312"/>
          <w:sz w:val="32"/>
          <w:szCs w:val="32"/>
        </w:rPr>
        <w:t>；经营收入0万元，占0</w:t>
      </w:r>
      <w:r>
        <w:rPr>
          <w:rFonts w:ascii="仿宋_GB2312" w:eastAsia="仿宋_GB2312"/>
          <w:sz w:val="32"/>
          <w:szCs w:val="32"/>
        </w:rPr>
        <w:t>%</w:t>
      </w:r>
      <w:r>
        <w:rPr>
          <w:rFonts w:hint="eastAsia" w:ascii="仿宋_GB2312" w:eastAsia="仿宋_GB2312"/>
          <w:sz w:val="32"/>
          <w:szCs w:val="32"/>
        </w:rPr>
        <w:t>；附属单位上缴收入0万元，占0</w:t>
      </w:r>
      <w:r>
        <w:rPr>
          <w:rFonts w:ascii="仿宋_GB2312" w:eastAsia="仿宋_GB2312"/>
          <w:sz w:val="32"/>
          <w:szCs w:val="32"/>
        </w:rPr>
        <w:t>%</w:t>
      </w:r>
      <w:r>
        <w:rPr>
          <w:rFonts w:hint="eastAsia" w:ascii="仿宋_GB2312" w:eastAsia="仿宋_GB2312"/>
          <w:sz w:val="32"/>
          <w:szCs w:val="32"/>
        </w:rPr>
        <w:t>；其他收入0万元，占0</w:t>
      </w:r>
      <w:r>
        <w:rPr>
          <w:rFonts w:ascii="仿宋_GB2312" w:eastAsia="仿宋_GB2312"/>
          <w:sz w:val="32"/>
          <w:szCs w:val="32"/>
        </w:rPr>
        <w:t>%</w:t>
      </w:r>
      <w:r>
        <w:rPr>
          <w:rFonts w:hint="eastAsia" w:ascii="仿宋_GB2312" w:eastAsia="仿宋_GB2312"/>
          <w:sz w:val="32"/>
          <w:szCs w:val="32"/>
        </w:rPr>
        <w:t>。</w:t>
      </w:r>
    </w:p>
    <w:p>
      <w:pPr>
        <w:spacing w:line="600" w:lineRule="exact"/>
        <w:ind w:firstLine="600"/>
        <w:rPr>
          <w:rFonts w:ascii="黑体" w:eastAsia="黑体"/>
          <w:bCs/>
          <w:sz w:val="32"/>
          <w:szCs w:val="32"/>
        </w:rPr>
      </w:pPr>
      <w:bookmarkStart w:id="28" w:name="_Toc15396605"/>
      <w:bookmarkStart w:id="29" w:name="_Toc15377207"/>
      <w:r>
        <w:rPr>
          <w:rFonts w:hint="eastAsia" w:ascii="黑体" w:eastAsia="黑体"/>
          <w:sz w:val="32"/>
          <w:szCs w:val="32"/>
        </w:rPr>
        <w:t>三、支</w:t>
      </w:r>
      <w:r>
        <w:rPr>
          <w:rFonts w:hint="eastAsia" w:ascii="黑体" w:eastAsia="黑体"/>
          <w:bCs/>
          <w:sz w:val="32"/>
          <w:szCs w:val="32"/>
        </w:rPr>
        <w:t>出决算情况说明</w:t>
      </w:r>
      <w:bookmarkEnd w:id="28"/>
      <w:bookmarkEnd w:id="29"/>
    </w:p>
    <w:p>
      <w:pPr>
        <w:spacing w:line="600" w:lineRule="exact"/>
        <w:ind w:firstLine="6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8年本年支出合计927.71万元，其中：基本支出927.71万元，占100</w:t>
      </w:r>
      <w:r>
        <w:rPr>
          <w:rFonts w:ascii="仿宋_GB2312" w:eastAsia="仿宋_GB2312"/>
          <w:sz w:val="32"/>
          <w:szCs w:val="32"/>
        </w:rPr>
        <w:t>%</w:t>
      </w:r>
      <w:r>
        <w:rPr>
          <w:rFonts w:hint="eastAsia" w:ascii="仿宋_GB2312" w:eastAsia="仿宋_GB2312"/>
          <w:sz w:val="32"/>
          <w:szCs w:val="32"/>
        </w:rPr>
        <w:t>；项目支出0万元，占0</w:t>
      </w:r>
      <w:r>
        <w:rPr>
          <w:rFonts w:ascii="仿宋_GB2312" w:eastAsia="仿宋_GB2312"/>
          <w:sz w:val="32"/>
          <w:szCs w:val="32"/>
        </w:rPr>
        <w:t>%</w:t>
      </w:r>
      <w:r>
        <w:rPr>
          <w:rFonts w:hint="eastAsia" w:ascii="仿宋_GB2312" w:eastAsia="仿宋_GB2312"/>
          <w:sz w:val="32"/>
          <w:szCs w:val="32"/>
        </w:rPr>
        <w:t>；上缴上级支出0万元，占0</w:t>
      </w:r>
      <w:r>
        <w:rPr>
          <w:rFonts w:ascii="仿宋_GB2312" w:eastAsia="仿宋_GB2312"/>
          <w:sz w:val="32"/>
          <w:szCs w:val="32"/>
        </w:rPr>
        <w:t>%</w:t>
      </w:r>
      <w:r>
        <w:rPr>
          <w:rFonts w:hint="eastAsia" w:ascii="仿宋_GB2312" w:eastAsia="仿宋_GB2312"/>
          <w:sz w:val="32"/>
          <w:szCs w:val="32"/>
        </w:rPr>
        <w:t>；经营支出0万元，占0</w:t>
      </w:r>
      <w:r>
        <w:rPr>
          <w:rFonts w:ascii="仿宋_GB2312" w:eastAsia="仿宋_GB2312"/>
          <w:sz w:val="32"/>
          <w:szCs w:val="32"/>
        </w:rPr>
        <w:t>%</w:t>
      </w:r>
      <w:r>
        <w:rPr>
          <w:rFonts w:hint="eastAsia" w:ascii="仿宋_GB2312" w:eastAsia="仿宋_GB2312"/>
          <w:sz w:val="32"/>
          <w:szCs w:val="32"/>
        </w:rPr>
        <w:t>；对附属单位补助支出0万元，占0</w:t>
      </w:r>
      <w:r>
        <w:rPr>
          <w:rFonts w:ascii="仿宋_GB2312" w:eastAsia="仿宋_GB2312"/>
          <w:sz w:val="32"/>
          <w:szCs w:val="32"/>
        </w:rPr>
        <w:t>%</w:t>
      </w:r>
      <w:r>
        <w:rPr>
          <w:rFonts w:hint="eastAsia" w:ascii="仿宋_GB2312" w:eastAsia="仿宋_GB2312"/>
          <w:sz w:val="32"/>
          <w:szCs w:val="32"/>
        </w:rPr>
        <w:t>。年末结转14.08万元。</w:t>
      </w:r>
    </w:p>
    <w:p>
      <w:pPr>
        <w:spacing w:line="600" w:lineRule="exact"/>
        <w:ind w:firstLine="600"/>
        <w:rPr>
          <w:rFonts w:ascii="黑体" w:eastAsia="黑体"/>
          <w:bCs/>
          <w:sz w:val="32"/>
          <w:szCs w:val="32"/>
        </w:rPr>
      </w:pPr>
      <w:bookmarkStart w:id="30" w:name="_Toc15377208"/>
      <w:bookmarkStart w:id="31" w:name="_Toc15396606"/>
      <w:r>
        <w:rPr>
          <w:rFonts w:hint="eastAsia" w:ascii="黑体" w:eastAsia="黑体"/>
          <w:sz w:val="32"/>
          <w:szCs w:val="32"/>
        </w:rPr>
        <w:t>四、财</w:t>
      </w:r>
      <w:r>
        <w:rPr>
          <w:rFonts w:hint="eastAsia" w:ascii="黑体" w:eastAsia="黑体"/>
          <w:bCs/>
          <w:sz w:val="32"/>
          <w:szCs w:val="32"/>
        </w:rPr>
        <w:t>政拨款收入支出决算总体情况说明</w:t>
      </w:r>
      <w:bookmarkEnd w:id="30"/>
      <w:bookmarkEnd w:id="31"/>
    </w:p>
    <w:p>
      <w:pPr>
        <w:spacing w:line="600" w:lineRule="exact"/>
        <w:ind w:firstLine="600"/>
        <w:rPr>
          <w:rFonts w:ascii="仿宋_GB2312" w:eastAsia="仿宋_GB2312"/>
          <w:sz w:val="32"/>
          <w:szCs w:val="32"/>
        </w:rPr>
      </w:pPr>
      <w:r>
        <w:rPr>
          <w:rFonts w:hint="eastAsia" w:ascii="仿宋_GB2312" w:eastAsia="仿宋_GB2312"/>
          <w:sz w:val="32"/>
          <w:szCs w:val="32"/>
        </w:rPr>
        <w:t xml:space="preserve">2018年度财政拨款收入决算数总计941.79万元，财政拨款支出决算数总计941.79万元。与2017年相比，财政拨款收入决算数总计增加53.22万元，增长5.99%；支出决算数总计增加53.22万元，增长5.99%。主要变动原因是职工正常晋级、两年晋档工资调标，按标准发放职工绩效考核奖，增加了人员经费。     </w:t>
      </w:r>
    </w:p>
    <w:p>
      <w:pPr>
        <w:spacing w:line="600" w:lineRule="exact"/>
        <w:ind w:firstLine="600"/>
        <w:rPr>
          <w:rFonts w:ascii="黑体" w:eastAsia="黑体"/>
          <w:bCs/>
          <w:sz w:val="32"/>
          <w:szCs w:val="32"/>
        </w:rPr>
      </w:pPr>
      <w:bookmarkStart w:id="32" w:name="_Toc15396607"/>
      <w:bookmarkStart w:id="33" w:name="_Toc15377209"/>
      <w:r>
        <w:rPr>
          <w:rFonts w:hint="eastAsia" w:ascii="黑体" w:eastAsia="黑体"/>
          <w:sz w:val="32"/>
          <w:szCs w:val="32"/>
        </w:rPr>
        <w:t>五、一</w:t>
      </w:r>
      <w:r>
        <w:rPr>
          <w:rFonts w:hint="eastAsia" w:ascii="黑体" w:eastAsia="黑体"/>
          <w:bCs/>
          <w:sz w:val="32"/>
          <w:szCs w:val="32"/>
        </w:rPr>
        <w:t>般公共预算财政拨款支出决算情况说明</w:t>
      </w:r>
      <w:bookmarkEnd w:id="32"/>
      <w:bookmarkEnd w:id="33"/>
    </w:p>
    <w:p>
      <w:pPr>
        <w:spacing w:line="600" w:lineRule="exact"/>
        <w:ind w:firstLine="600"/>
        <w:rPr>
          <w:rFonts w:ascii="仿宋_GB2312" w:eastAsia="仿宋_GB2312"/>
          <w:b/>
          <w:sz w:val="32"/>
          <w:szCs w:val="32"/>
        </w:rPr>
      </w:pPr>
      <w:bookmarkStart w:id="34" w:name="_Toc15377210"/>
      <w:r>
        <w:rPr>
          <w:rFonts w:hint="eastAsia" w:ascii="仿宋_GB2312" w:eastAsia="仿宋_GB2312"/>
          <w:b/>
          <w:sz w:val="32"/>
          <w:szCs w:val="32"/>
        </w:rPr>
        <w:t>（一）一般公共预算财政拨款支出决算总体情况</w:t>
      </w:r>
      <w:bookmarkEnd w:id="34"/>
    </w:p>
    <w:p>
      <w:pPr>
        <w:spacing w:line="600" w:lineRule="exact"/>
        <w:ind w:firstLine="600"/>
        <w:rPr>
          <w:rFonts w:ascii="仿宋_GB2312" w:eastAsia="仿宋_GB2312"/>
          <w:sz w:val="32"/>
          <w:szCs w:val="32"/>
        </w:rPr>
      </w:pPr>
      <w:r>
        <w:rPr>
          <w:rFonts w:hint="eastAsia" w:ascii="仿宋_GB2312" w:eastAsia="仿宋_GB2312"/>
          <w:sz w:val="32"/>
          <w:szCs w:val="32"/>
        </w:rPr>
        <w:t>2018年度一般公共预算财政拨款支出927.71万元，占本年支出合计的100%。与2017年相比，一般公共预算财政拨款增加39.14万元，增长4.4%。</w:t>
      </w:r>
    </w:p>
    <w:p>
      <w:pPr>
        <w:spacing w:line="600" w:lineRule="exact"/>
        <w:ind w:firstLine="640" w:firstLineChars="200"/>
        <w:outlineLvl w:val="2"/>
        <w:rPr>
          <w:rFonts w:ascii="仿宋" w:hAnsi="仿宋" w:eastAsia="仿宋"/>
          <w:color w:val="000000"/>
          <w:sz w:val="32"/>
          <w:szCs w:val="32"/>
        </w:rPr>
      </w:pPr>
      <w:bookmarkStart w:id="35" w:name="_Toc15377211"/>
      <w:r>
        <w:rPr>
          <w:rFonts w:hint="eastAsia" w:ascii="仿宋" w:hAnsi="仿宋" w:eastAsia="仿宋"/>
          <w:color w:val="000000"/>
          <w:sz w:val="32"/>
          <w:szCs w:val="32"/>
        </w:rPr>
        <w:t>（二）一般公共预算财政拨款支出决算结构情况</w:t>
      </w:r>
      <w:bookmarkEnd w:id="35"/>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2018年一般公共预算财政拨款支出927.71万元，主要用于以下方面: 交通运输支出785.13万元，占84.63%；社会保障和就业支出77.26万元，占8.33%；医疗卫生与计划生育支出24.5万元，占2.64%；住房保障支出40.82万元，占4.4%。</w:t>
      </w:r>
    </w:p>
    <w:p>
      <w:pPr>
        <w:spacing w:line="600" w:lineRule="exact"/>
        <w:ind w:firstLine="640" w:firstLineChars="200"/>
        <w:outlineLvl w:val="2"/>
        <w:rPr>
          <w:rFonts w:ascii="仿宋" w:hAnsi="仿宋" w:eastAsia="仿宋"/>
          <w:color w:val="000000"/>
          <w:sz w:val="32"/>
          <w:szCs w:val="32"/>
        </w:rPr>
      </w:pPr>
      <w:bookmarkStart w:id="36" w:name="_Toc15377212"/>
      <w:r>
        <w:rPr>
          <w:rFonts w:hint="eastAsia" w:ascii="仿宋" w:hAnsi="仿宋" w:eastAsia="仿宋"/>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color w:val="000000" w:themeColor="text1"/>
          <w:sz w:val="32"/>
          <w:szCs w:val="32"/>
        </w:rPr>
        <w:t>2018年一般公共预算支出决算数为927.71万元，</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_GB2312" w:eastAsia="仿宋_GB2312"/>
          <w:color w:val="000000"/>
          <w:sz w:val="32"/>
          <w:szCs w:val="32"/>
        </w:rPr>
      </w:pPr>
      <w:r>
        <w:rPr>
          <w:rStyle w:val="14"/>
          <w:rFonts w:hint="eastAsia" w:ascii="仿宋_GB2312" w:eastAsia="仿宋_GB2312"/>
          <w:b w:val="0"/>
          <w:color w:val="000000"/>
          <w:sz w:val="32"/>
          <w:szCs w:val="32"/>
        </w:rPr>
        <w:t>1.交通运输：交通运输支出（类）公路水路运输（款）公路运输管理（项）</w:t>
      </w:r>
      <w:r>
        <w:rPr>
          <w:rStyle w:val="14"/>
          <w:rFonts w:hint="eastAsia" w:ascii="仿宋_GB2312" w:eastAsia="仿宋_GB2312"/>
          <w:color w:val="000000"/>
          <w:sz w:val="32"/>
          <w:szCs w:val="32"/>
        </w:rPr>
        <w:t>:</w:t>
      </w:r>
      <w:r>
        <w:rPr>
          <w:rFonts w:hint="eastAsia" w:ascii="仿宋_GB2312" w:eastAsia="仿宋_GB2312"/>
          <w:color w:val="000000"/>
          <w:sz w:val="32"/>
          <w:szCs w:val="32"/>
        </w:rPr>
        <w:t>2018年支出决算数为785.13万元，完成预算100%。</w:t>
      </w:r>
    </w:p>
    <w:p>
      <w:pPr>
        <w:spacing w:line="600" w:lineRule="exact"/>
        <w:ind w:firstLine="640" w:firstLineChars="200"/>
        <w:rPr>
          <w:rFonts w:ascii="仿宋_GB2312" w:eastAsia="仿宋_GB2312"/>
          <w:color w:val="000000"/>
          <w:sz w:val="32"/>
          <w:szCs w:val="32"/>
        </w:rPr>
      </w:pPr>
      <w:r>
        <w:rPr>
          <w:rStyle w:val="14"/>
          <w:rFonts w:hint="eastAsia" w:ascii="仿宋_GB2312" w:eastAsia="仿宋_GB2312"/>
          <w:b w:val="0"/>
          <w:color w:val="000000"/>
          <w:sz w:val="32"/>
          <w:szCs w:val="32"/>
        </w:rPr>
        <w:t>2.社会保障和就业：社会保障和就业支出（类）行政事业单位离退休（款）事业单位离退休（项）:</w:t>
      </w:r>
      <w:r>
        <w:rPr>
          <w:rFonts w:hint="eastAsia" w:ascii="仿宋_GB2312" w:eastAsia="仿宋_GB2312"/>
          <w:color w:val="000000"/>
          <w:sz w:val="32"/>
          <w:szCs w:val="32"/>
        </w:rPr>
        <w:t>2018年支出决算数为14.09万元，完成预算100%。</w:t>
      </w:r>
    </w:p>
    <w:p>
      <w:pPr>
        <w:spacing w:line="600" w:lineRule="exact"/>
        <w:ind w:firstLine="640"/>
        <w:rPr>
          <w:rFonts w:ascii="仿宋_GB2312" w:eastAsia="仿宋_GB2312"/>
          <w:color w:val="000000"/>
          <w:sz w:val="32"/>
          <w:szCs w:val="32"/>
        </w:rPr>
      </w:pPr>
      <w:r>
        <w:rPr>
          <w:rStyle w:val="14"/>
          <w:rFonts w:hint="eastAsia" w:ascii="仿宋_GB2312" w:eastAsia="仿宋_GB2312"/>
          <w:b w:val="0"/>
          <w:color w:val="000000"/>
          <w:sz w:val="32"/>
          <w:szCs w:val="32"/>
        </w:rPr>
        <w:t>3.社会保障和就业：社会保障和就业支出（类）行政事业单位离退休（款）机关事业单位基本养老保险缴费支出（项）:</w:t>
      </w:r>
      <w:r>
        <w:rPr>
          <w:rFonts w:hint="eastAsia" w:ascii="仿宋_GB2312" w:eastAsia="仿宋_GB2312"/>
          <w:color w:val="000000"/>
          <w:sz w:val="32"/>
          <w:szCs w:val="32"/>
        </w:rPr>
        <w:t>2018年支出决算数为45.12万元，完成预算100%。</w:t>
      </w:r>
      <w:r>
        <w:rPr>
          <w:rFonts w:hint="eastAsia" w:ascii="仿宋_GB2312" w:eastAsia="仿宋_GB2312"/>
          <w:color w:val="000000"/>
          <w:sz w:val="32"/>
          <w:szCs w:val="32"/>
        </w:rPr>
        <w:br w:type="textWrapping"/>
      </w:r>
      <w:r>
        <w:rPr>
          <w:rFonts w:hint="eastAsia" w:ascii="仿宋_GB2312" w:eastAsia="仿宋_GB2312"/>
          <w:color w:val="000000"/>
          <w:sz w:val="32"/>
          <w:szCs w:val="32"/>
        </w:rPr>
        <w:t>　  4</w:t>
      </w:r>
      <w:r>
        <w:rPr>
          <w:rStyle w:val="14"/>
          <w:rFonts w:hint="eastAsia" w:ascii="仿宋_GB2312" w:eastAsia="仿宋_GB2312"/>
          <w:b w:val="0"/>
          <w:color w:val="000000"/>
          <w:sz w:val="32"/>
          <w:szCs w:val="32"/>
        </w:rPr>
        <w:t>.社会保障和就业：社会保障和就业支出（类）行政事业单位离退休（款）机关事业单位职业年金缴费支出（项）:</w:t>
      </w:r>
      <w:r>
        <w:rPr>
          <w:rFonts w:hint="eastAsia" w:ascii="仿宋_GB2312" w:eastAsia="仿宋_GB2312"/>
          <w:color w:val="000000"/>
          <w:sz w:val="32"/>
          <w:szCs w:val="32"/>
        </w:rPr>
        <w:t>2018年支出决算数为18.05万元，完成预算100%。</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Style w:val="14"/>
          <w:rFonts w:hint="eastAsia" w:ascii="仿宋_GB2312" w:eastAsia="仿宋_GB2312"/>
          <w:b w:val="0"/>
          <w:color w:val="000000"/>
          <w:sz w:val="32"/>
          <w:szCs w:val="32"/>
        </w:rPr>
        <w:t>.医疗卫生与计划生育：医疗卫生与计划生育支出（类）行政事业单位医疗（款）事业单位医疗（项）:</w:t>
      </w:r>
      <w:r>
        <w:rPr>
          <w:rFonts w:hint="eastAsia" w:ascii="仿宋_GB2312" w:eastAsia="仿宋_GB2312"/>
          <w:color w:val="000000"/>
          <w:sz w:val="32"/>
          <w:szCs w:val="32"/>
        </w:rPr>
        <w:t>2018年支出决算数为15.79万元，完成预算100%。</w:t>
      </w:r>
    </w:p>
    <w:p>
      <w:pPr>
        <w:spacing w:line="600" w:lineRule="exact"/>
        <w:ind w:firstLine="640" w:firstLineChars="200"/>
        <w:rPr>
          <w:rFonts w:ascii="仿宋_GB2312" w:eastAsia="仿宋_GB2312"/>
          <w:color w:val="000000"/>
          <w:sz w:val="32"/>
          <w:szCs w:val="32"/>
        </w:rPr>
      </w:pPr>
      <w:r>
        <w:rPr>
          <w:rStyle w:val="14"/>
          <w:rFonts w:hint="eastAsia" w:ascii="仿宋_GB2312" w:eastAsia="仿宋_GB2312"/>
          <w:b w:val="0"/>
          <w:color w:val="000000"/>
          <w:sz w:val="32"/>
          <w:szCs w:val="32"/>
        </w:rPr>
        <w:t>6.医疗卫生与计划生育：医疗卫生与计划生育支出（类）行政事业单位医疗（款）公务员医疗补助（项）:</w:t>
      </w:r>
      <w:r>
        <w:rPr>
          <w:rFonts w:hint="eastAsia" w:ascii="仿宋_GB2312" w:eastAsia="仿宋_GB2312"/>
          <w:color w:val="000000"/>
          <w:sz w:val="32"/>
          <w:szCs w:val="32"/>
        </w:rPr>
        <w:t>2018年支出决算数为7.58万元，完成预算100%。</w:t>
      </w:r>
    </w:p>
    <w:p>
      <w:pPr>
        <w:spacing w:line="600" w:lineRule="exact"/>
        <w:ind w:firstLine="640" w:firstLineChars="200"/>
        <w:rPr>
          <w:rFonts w:ascii="仿宋_GB2312" w:eastAsia="仿宋_GB2312"/>
          <w:color w:val="000000"/>
          <w:sz w:val="32"/>
          <w:szCs w:val="32"/>
        </w:rPr>
      </w:pPr>
      <w:r>
        <w:rPr>
          <w:rStyle w:val="14"/>
          <w:rFonts w:hint="eastAsia" w:ascii="仿宋_GB2312" w:eastAsia="仿宋_GB2312"/>
          <w:b w:val="0"/>
          <w:color w:val="000000"/>
          <w:sz w:val="32"/>
          <w:szCs w:val="32"/>
        </w:rPr>
        <w:t>7.医疗卫生与计划生育：医疗卫生与计划生育支出（类）其他医疗卫生与计划生育支出（款）其他医疗卫生与计划生育支出（项）:</w:t>
      </w:r>
      <w:r>
        <w:rPr>
          <w:rFonts w:hint="eastAsia" w:ascii="仿宋_GB2312" w:eastAsia="仿宋_GB2312"/>
          <w:color w:val="000000"/>
          <w:sz w:val="32"/>
          <w:szCs w:val="32"/>
        </w:rPr>
        <w:t>2018年支出决算数为1.13万元，完成预算100%。</w:t>
      </w:r>
    </w:p>
    <w:p>
      <w:pPr>
        <w:spacing w:line="600" w:lineRule="exact"/>
        <w:ind w:firstLine="640" w:firstLineChars="200"/>
        <w:rPr>
          <w:rFonts w:ascii="仿宋_GB2312" w:eastAsia="仿宋_GB2312"/>
          <w:color w:val="000000"/>
          <w:sz w:val="32"/>
          <w:szCs w:val="32"/>
        </w:rPr>
      </w:pPr>
      <w:r>
        <w:rPr>
          <w:rStyle w:val="14"/>
          <w:rFonts w:hint="eastAsia" w:ascii="仿宋_GB2312" w:eastAsia="仿宋_GB2312"/>
          <w:b w:val="0"/>
          <w:color w:val="000000"/>
          <w:sz w:val="32"/>
          <w:szCs w:val="32"/>
        </w:rPr>
        <w:t>8.住房保障：住房保障支出（类）住房改革支出（款）住房公积金（项）:</w:t>
      </w:r>
      <w:r>
        <w:rPr>
          <w:rFonts w:hint="eastAsia" w:ascii="仿宋_GB2312" w:eastAsia="仿宋_GB2312"/>
          <w:color w:val="000000"/>
          <w:sz w:val="32"/>
          <w:szCs w:val="32"/>
        </w:rPr>
        <w:t>2018年支出决算数为40.82万元，完成预算100%。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2018年度一般公共预算财政拨款基本支出927.71万元，其中：</w:t>
      </w:r>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人员经费818.03万元，主要包括：基本工资127.62万元、津贴补贴75.8万元、奖金284.24万元、绩效工资21.18万元、机关事业单位基本养老保险缴费45.12万元、职业年金缴费18.05万元、职工基本医疗保险缴费15.79万元、公务员医疗补助缴费5.18万元、其他社会保障缴费1.52万元、其他工资福利支出164.95万元、住房公积金40.82万元、生活补助15.36万元、医疗费补助2.4万元。</w:t>
      </w:r>
      <w:r>
        <w:rPr>
          <w:rFonts w:hint="eastAsia" w:ascii="仿宋_GB2312" w:eastAsia="仿宋_GB2312"/>
          <w:color w:val="000000"/>
          <w:sz w:val="32"/>
          <w:szCs w:val="32"/>
        </w:rPr>
        <w:br w:type="textWrapping"/>
      </w:r>
      <w:r>
        <w:rPr>
          <w:rFonts w:hint="eastAsia" w:ascii="仿宋_GB2312" w:eastAsia="仿宋_GB2312"/>
          <w:color w:val="000000"/>
          <w:sz w:val="32"/>
          <w:szCs w:val="32"/>
        </w:rPr>
        <w:t>　　公用经费109.68万元，主要包括：办公费3.4万元、印刷费1.35万元、水费1.03万元、电费1.98万元、邮电费6.12万元、物业管理费7.56万元、差旅费25.57万元、维修（护）费1.29万元、会议费0.52万元、培训费1.23万元、公务接待费0.06万元、被装购置费2.15万元、劳务费1.08万元、工会经费12.21万元、福利费5.86万元、公务用车运行维护费5.96万元、其他交通费用21.74万元、其他商品和服务支出3.54万元、办公设备购置6.18万元、信息网络及软件购置更新0.85万元。</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color w:val="000000"/>
          <w:sz w:val="32"/>
          <w:szCs w:val="32"/>
        </w:rPr>
      </w:pPr>
      <w:bookmarkStart w:id="44" w:name="_Toc15377216"/>
      <w:r>
        <w:rPr>
          <w:rFonts w:hint="eastAsia" w:ascii="仿宋" w:hAnsi="仿宋" w:eastAsia="仿宋"/>
          <w:color w:val="000000"/>
          <w:sz w:val="32"/>
          <w:szCs w:val="32"/>
        </w:rPr>
        <w:t>（一）“三公”经费财政拨款支出决算总体情况说明</w:t>
      </w:r>
      <w:bookmarkEnd w:id="44"/>
    </w:p>
    <w:p>
      <w:pPr>
        <w:spacing w:line="600" w:lineRule="exact"/>
        <w:ind w:firstLine="640"/>
        <w:rPr>
          <w:rFonts w:ascii="仿宋_GB2312" w:eastAsia="仿宋_GB2312"/>
          <w:color w:val="333333"/>
          <w:sz w:val="32"/>
          <w:szCs w:val="32"/>
        </w:rPr>
      </w:pPr>
      <w:r>
        <w:rPr>
          <w:rFonts w:hint="eastAsia" w:ascii="仿宋_GB2312" w:eastAsia="仿宋_GB2312"/>
          <w:color w:val="000000"/>
          <w:sz w:val="32"/>
          <w:szCs w:val="32"/>
        </w:rPr>
        <w:t>2018年度“三公”经费财政拨款支出决算为6.02万元，完成预算83.61%，</w:t>
      </w:r>
      <w:r>
        <w:rPr>
          <w:rFonts w:hint="eastAsia" w:ascii="仿宋_GB2312" w:eastAsia="仿宋_GB2312"/>
          <w:color w:val="333333"/>
          <w:sz w:val="32"/>
          <w:szCs w:val="32"/>
        </w:rPr>
        <w:t>其中：公务用车购置及运行维护费支出决算为5.96万元，完成预算99.33%；公务接待费支出决算为0.06万元，完成预算5%。2018年度“三公”经费支出决算数小于预算数的主要原因是严格预算绩效管理，坚持中央八项规定，厉行节约，严格控制“三公”经费支出。</w:t>
      </w:r>
    </w:p>
    <w:p>
      <w:pPr>
        <w:spacing w:line="600" w:lineRule="exact"/>
        <w:ind w:firstLine="800" w:firstLineChars="250"/>
        <w:rPr>
          <w:rFonts w:ascii="仿宋_GB2312" w:eastAsia="仿宋_GB2312"/>
          <w:sz w:val="32"/>
          <w:szCs w:val="32"/>
        </w:rPr>
      </w:pPr>
      <w:r>
        <w:rPr>
          <w:rFonts w:hint="eastAsia" w:ascii="仿宋_GB2312" w:eastAsia="仿宋_GB2312"/>
          <w:color w:val="333333"/>
          <w:sz w:val="32"/>
          <w:szCs w:val="32"/>
        </w:rPr>
        <w:t>2018年度“三公”经费财政拨款支出决算数比2017年</w:t>
      </w:r>
      <w:r>
        <w:rPr>
          <w:rFonts w:hint="eastAsia" w:ascii="仿宋_GB2312" w:eastAsia="仿宋_GB2312"/>
          <w:color w:val="000000"/>
          <w:sz w:val="32"/>
          <w:szCs w:val="32"/>
        </w:rPr>
        <w:t>增长1.3</w:t>
      </w:r>
      <w:r>
        <w:rPr>
          <w:rFonts w:hint="eastAsia" w:ascii="仿宋_GB2312" w:eastAsia="仿宋_GB2312"/>
          <w:color w:val="333333"/>
          <w:sz w:val="32"/>
          <w:szCs w:val="32"/>
        </w:rPr>
        <w:t>万元，增长27</w:t>
      </w:r>
      <w:r>
        <w:rPr>
          <w:rFonts w:hint="eastAsia" w:ascii="仿宋_GB2312" w:eastAsia="仿宋_GB2312"/>
          <w:color w:val="000000"/>
          <w:sz w:val="32"/>
          <w:szCs w:val="32"/>
        </w:rPr>
        <w:t>.54%，其中：</w:t>
      </w:r>
      <w:r>
        <w:rPr>
          <w:rFonts w:hint="eastAsia" w:ascii="仿宋_GB2312" w:eastAsia="仿宋_GB2312"/>
          <w:color w:val="333333"/>
          <w:sz w:val="32"/>
          <w:szCs w:val="32"/>
        </w:rPr>
        <w:t>公务用车购置及运行维护费支出决算增加1</w:t>
      </w:r>
      <w:r>
        <w:rPr>
          <w:rFonts w:hint="eastAsia" w:ascii="仿宋_GB2312" w:eastAsia="仿宋_GB2312"/>
          <w:color w:val="000000"/>
          <w:sz w:val="32"/>
          <w:szCs w:val="32"/>
        </w:rPr>
        <w:t>.62</w:t>
      </w:r>
      <w:r>
        <w:rPr>
          <w:rFonts w:hint="eastAsia" w:ascii="仿宋_GB2312" w:eastAsia="仿宋_GB2312"/>
          <w:color w:val="333333"/>
          <w:sz w:val="32"/>
          <w:szCs w:val="32"/>
        </w:rPr>
        <w:t>万元，增长</w:t>
      </w:r>
      <w:r>
        <w:rPr>
          <w:rFonts w:hint="eastAsia" w:ascii="仿宋_GB2312" w:eastAsia="仿宋_GB2312"/>
          <w:color w:val="000000"/>
          <w:sz w:val="32"/>
          <w:szCs w:val="32"/>
        </w:rPr>
        <w:t>37.33%，</w:t>
      </w:r>
      <w:r>
        <w:rPr>
          <w:rFonts w:hint="eastAsia" w:ascii="仿宋_GB2312" w:eastAsia="仿宋_GB2312"/>
          <w:color w:val="333333"/>
          <w:sz w:val="32"/>
          <w:szCs w:val="32"/>
        </w:rPr>
        <w:t>主要原因是不断</w:t>
      </w:r>
      <w:r>
        <w:rPr>
          <w:rFonts w:hint="eastAsia" w:ascii="仿宋_GB2312" w:eastAsia="仿宋_GB2312"/>
          <w:sz w:val="32"/>
          <w:szCs w:val="32"/>
        </w:rPr>
        <w:t>加强道路运输管理工作力度，执法车辆使用频繁，加之车辆老化，增加了维修费等支出</w:t>
      </w:r>
      <w:r>
        <w:rPr>
          <w:rFonts w:hint="eastAsia" w:ascii="仿宋_GB2312" w:eastAsia="仿宋_GB2312"/>
          <w:color w:val="333333"/>
          <w:sz w:val="32"/>
          <w:szCs w:val="32"/>
        </w:rPr>
        <w:t>；公务接待费支出0.06万元，与2017年接待费支出持平，主要用于单位开展道路运输市场管理工作需要。</w:t>
      </w:r>
    </w:p>
    <w:p>
      <w:pPr>
        <w:spacing w:line="600" w:lineRule="exact"/>
        <w:ind w:firstLine="640"/>
        <w:outlineLvl w:val="2"/>
        <w:rPr>
          <w:rFonts w:ascii="仿宋" w:hAnsi="仿宋" w:eastAsia="仿宋"/>
          <w:color w:val="000000"/>
          <w:sz w:val="32"/>
          <w:szCs w:val="32"/>
        </w:rPr>
      </w:pPr>
      <w:bookmarkStart w:id="45" w:name="_Toc15377217"/>
      <w:r>
        <w:rPr>
          <w:rFonts w:hint="eastAsia" w:ascii="仿宋" w:hAnsi="仿宋" w:eastAsia="仿宋"/>
          <w:color w:val="000000"/>
          <w:sz w:val="32"/>
          <w:szCs w:val="32"/>
        </w:rPr>
        <w:t>（二）“三公”经费财政拨款支出决算具体情况说明</w:t>
      </w:r>
      <w:bookmarkEnd w:id="45"/>
    </w:p>
    <w:p>
      <w:pPr>
        <w:ind w:firstLine="640" w:firstLineChars="200"/>
        <w:rPr>
          <w:rFonts w:ascii="仿宋_GB2312" w:eastAsia="仿宋_GB2312"/>
          <w:sz w:val="32"/>
          <w:szCs w:val="32"/>
        </w:rPr>
      </w:pPr>
      <w:r>
        <w:rPr>
          <w:rFonts w:hint="eastAsia" w:ascii="仿宋_GB2312" w:eastAsia="仿宋_GB2312"/>
          <w:sz w:val="32"/>
          <w:szCs w:val="32"/>
        </w:rPr>
        <w:t>2018年“三公”经费财政拨款支出决算中，因公出国（境）费支出决算0万元，占0%；公务用车购置及运行维护费支出决算5.96万元，占99%；公务接待费支出决算0.06万元，占1%。具体情况如下：</w:t>
      </w:r>
    </w:p>
    <w:p>
      <w:pPr>
        <w:ind w:firstLine="640" w:firstLineChars="200"/>
        <w:rPr>
          <w:rFonts w:ascii="仿宋_GB2312" w:eastAsia="仿宋_GB2312"/>
          <w:sz w:val="32"/>
          <w:szCs w:val="32"/>
        </w:rPr>
      </w:pPr>
      <w:r>
        <w:rPr>
          <w:rFonts w:hint="eastAsia" w:ascii="仿宋_GB2312" w:eastAsia="仿宋_GB2312"/>
          <w:sz w:val="32"/>
          <w:szCs w:val="32"/>
        </w:rPr>
        <w:t>1.因公出国（境）经费支出0万元。</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2.公务用车购置及运行维护费支出5.96万元,完成预算99.33%。其中：</w:t>
      </w:r>
    </w:p>
    <w:p>
      <w:pPr>
        <w:ind w:firstLine="640" w:firstLineChars="200"/>
        <w:rPr>
          <w:rFonts w:ascii="仿宋_GB2312" w:eastAsia="仿宋_GB2312"/>
          <w:sz w:val="32"/>
          <w:szCs w:val="32"/>
        </w:rPr>
      </w:pPr>
      <w:r>
        <w:rPr>
          <w:rFonts w:hint="eastAsia" w:ascii="仿宋_GB2312" w:eastAsia="仿宋_GB2312"/>
          <w:sz w:val="32"/>
          <w:szCs w:val="32"/>
        </w:rPr>
        <w:t>公务用车购置支出0万元。截至</w:t>
      </w:r>
      <w:r>
        <w:rPr>
          <w:rFonts w:ascii="仿宋_GB2312" w:eastAsia="仿宋_GB2312"/>
          <w:sz w:val="32"/>
          <w:szCs w:val="32"/>
        </w:rPr>
        <w:t>201</w:t>
      </w:r>
      <w:r>
        <w:rPr>
          <w:rFonts w:hint="eastAsia" w:ascii="仿宋_GB2312" w:eastAsia="仿宋_GB2312"/>
          <w:sz w:val="32"/>
          <w:szCs w:val="32"/>
        </w:rPr>
        <w:t>8年</w:t>
      </w:r>
      <w:r>
        <w:rPr>
          <w:rFonts w:ascii="仿宋_GB2312" w:eastAsia="仿宋_GB2312"/>
          <w:sz w:val="32"/>
          <w:szCs w:val="32"/>
        </w:rPr>
        <w:t>12</w:t>
      </w:r>
      <w:r>
        <w:rPr>
          <w:rFonts w:hint="eastAsia" w:ascii="仿宋_GB2312" w:eastAsia="仿宋_GB2312"/>
          <w:sz w:val="32"/>
          <w:szCs w:val="32"/>
        </w:rPr>
        <w:t xml:space="preserve">月底，单位公务用车保有量2辆（2016年8月公车改革，已移交广汉市国资委7辆；2018年经广汉市国资委批准核减公务用车7辆；单位现有公务用车2辆，其中：执法执勤用车2辆）。 </w:t>
      </w:r>
    </w:p>
    <w:p>
      <w:pPr>
        <w:ind w:firstLine="640" w:firstLineChars="200"/>
        <w:rPr>
          <w:rFonts w:ascii="仿宋_GB2312" w:eastAsia="仿宋_GB2312"/>
          <w:sz w:val="32"/>
          <w:szCs w:val="32"/>
        </w:rPr>
      </w:pPr>
      <w:r>
        <w:rPr>
          <w:rFonts w:hint="eastAsia" w:ascii="仿宋_GB2312" w:eastAsia="仿宋_GB2312"/>
          <w:sz w:val="32"/>
          <w:szCs w:val="32"/>
        </w:rPr>
        <w:t>公务用车运行维护费支出5.96万元。主要用于开展道路运输市场管理工作所需的公务用车燃料费、维修费、过路过桥费、保险费等支出。</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公务接待费支出0.06万元，完成预算5</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color w:val="000000"/>
          <w:sz w:val="32"/>
          <w:szCs w:val="32"/>
        </w:rPr>
      </w:pPr>
      <w:bookmarkStart w:id="46" w:name="_Toc15396610"/>
      <w:bookmarkStart w:id="47" w:name="_Toc15377218"/>
      <w:r>
        <w:rPr>
          <w:rFonts w:hint="eastAsia" w:ascii="仿宋_GB2312" w:eastAsia="仿宋_GB2312"/>
          <w:color w:val="000000"/>
          <w:sz w:val="32"/>
          <w:szCs w:val="32"/>
        </w:rPr>
        <w:t>主要用于开展道路运输市场管理工作开支的餐费。国内公务接待1批次，7人次（不包括陪同人员），共计支出0.06万元，具体内容包括：德阳市道路运输管理处会同罗江交通局考察广汉城际列车客运站建设情况0.06万元。其中：外事接待0批次，0人，共计支出0万元。</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60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60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预算绩效管理工作开展情况。</w:t>
      </w:r>
    </w:p>
    <w:p>
      <w:pPr>
        <w:spacing w:line="60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根据预算绩效管理要求，</w:t>
      </w:r>
      <w:r>
        <w:rPr>
          <w:rFonts w:ascii="仿宋_GB2312" w:hAnsi="仿宋_GB2312" w:eastAsia="仿宋_GB2312" w:cs="仿宋_GB2312"/>
          <w:sz w:val="32"/>
          <w:szCs w:val="32"/>
        </w:rPr>
        <w:t xml:space="preserve"> </w:t>
      </w:r>
      <w:r>
        <w:rPr>
          <w:rFonts w:hint="eastAsia" w:ascii="仿宋_GB2312" w:eastAsia="仿宋_GB2312"/>
          <w:color w:val="000000"/>
          <w:sz w:val="32"/>
          <w:szCs w:val="32"/>
        </w:rPr>
        <w:t>本部门对2018年部门整体支出开展绩效自评，2018年度单位预算执行严格有效，预算管理规范，履职效益明显，严格执行各项财经法规和会计制度，财务管理和会计基础工作规范，把绩效跟踪与加强当年预算执行，实施预算调整、使用结转资金结合起来，为提高财政资金使用效益，加强对预算绩效管理的思想认识，不断提高业务能力，不断</w:t>
      </w:r>
      <w:r>
        <w:rPr>
          <w:rFonts w:hint="eastAsia" w:ascii="仿宋_GB2312" w:eastAsia="仿宋_GB2312"/>
          <w:bCs/>
          <w:color w:val="000000"/>
          <w:sz w:val="32"/>
          <w:szCs w:val="32"/>
        </w:rPr>
        <w:t>完善绩效评价制度建设，</w:t>
      </w:r>
      <w:r>
        <w:rPr>
          <w:rFonts w:hint="eastAsia" w:ascii="仿宋_GB2312" w:eastAsia="仿宋_GB2312"/>
          <w:color w:val="000000"/>
          <w:sz w:val="32"/>
          <w:szCs w:val="32"/>
        </w:rPr>
        <w:t>进一步使预算绩效管理工作落实到位。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2018年度本部门无项目支出预算编制。</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 w:hAnsi="仿宋" w:eastAsia="仿宋" w:cs="楷体_GB2312"/>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2018年度本部门决算中无项目支出。</w:t>
      </w:r>
    </w:p>
    <w:p>
      <w:pPr>
        <w:numPr>
          <w:ilvl w:val="0"/>
          <w:numId w:val="4"/>
        </w:numPr>
        <w:spacing w:line="600" w:lineRule="exact"/>
        <w:ind w:firstLine="640" w:firstLineChars="200"/>
        <w:rPr>
          <w:rFonts w:ascii="仿宋" w:hAnsi="仿宋" w:eastAsia="仿宋" w:cs="仿宋_GB2312"/>
          <w:sz w:val="32"/>
          <w:szCs w:val="32"/>
        </w:rPr>
      </w:pPr>
      <w:r>
        <w:rPr>
          <w:rFonts w:hint="eastAsia" w:ascii="仿宋" w:hAnsi="仿宋" w:eastAsia="仿宋" w:cs="楷体_GB2312"/>
          <w:bCs/>
          <w:sz w:val="32"/>
          <w:szCs w:val="32"/>
        </w:rPr>
        <w:t>部门开展绩效评价结果。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本部门按要求对2018年部门整体支出绩效评价情况开展自评，《广汉市交通运输管理处2018年部门整体支出绩效评价报告》见附件。</w:t>
      </w:r>
    </w:p>
    <w:p>
      <w:pPr>
        <w:spacing w:line="600" w:lineRule="exact"/>
        <w:ind w:firstLine="640" w:firstLineChars="20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color w:val="000000"/>
          <w:sz w:val="32"/>
          <w:szCs w:val="32"/>
        </w:rPr>
        <w:t>（一）机关运行经费支出情况</w:t>
      </w:r>
      <w:bookmarkEnd w:id="5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8年机关运行经费支出109.68万元，比</w:t>
      </w:r>
      <w:r>
        <w:rPr>
          <w:rFonts w:ascii="仿宋_GB2312" w:eastAsia="仿宋_GB2312"/>
          <w:color w:val="000000"/>
          <w:sz w:val="32"/>
          <w:szCs w:val="32"/>
        </w:rPr>
        <w:t>201</w:t>
      </w:r>
      <w:r>
        <w:rPr>
          <w:rFonts w:hint="eastAsia" w:ascii="仿宋_GB2312" w:eastAsia="仿宋_GB2312"/>
          <w:color w:val="000000"/>
          <w:sz w:val="32"/>
          <w:szCs w:val="32"/>
        </w:rPr>
        <w:t>7年增加9.21万元，增长9.17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仿宋_GB2312"/>
          <w:color w:val="000000"/>
          <w:sz w:val="32"/>
          <w:szCs w:val="32"/>
        </w:rPr>
        <w:t>我处履行一般行政管理职能、维持机关工作正常运转而发生的支出。</w:t>
      </w:r>
    </w:p>
    <w:p>
      <w:pPr>
        <w:autoSpaceDE w:val="0"/>
        <w:autoSpaceDN w:val="0"/>
        <w:adjustRightInd w:val="0"/>
        <w:spacing w:line="600" w:lineRule="exact"/>
        <w:ind w:firstLine="640" w:firstLineChars="200"/>
        <w:jc w:val="left"/>
        <w:outlineLvl w:val="2"/>
        <w:rPr>
          <w:rFonts w:ascii="仿宋" w:hAnsi="仿宋" w:eastAsia="仿宋"/>
          <w:color w:val="000000"/>
          <w:sz w:val="32"/>
          <w:szCs w:val="32"/>
        </w:rPr>
      </w:pPr>
      <w:bookmarkStart w:id="53" w:name="_Toc15377223"/>
      <w:r>
        <w:rPr>
          <w:rFonts w:hint="eastAsia" w:ascii="仿宋" w:hAnsi="仿宋" w:eastAsia="仿宋"/>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8年政府采购支出总额0万元，其中：政府采购货物支出0万元、政府采购工程支出0万元、政府采购服务支出0万元。</w:t>
      </w:r>
    </w:p>
    <w:p>
      <w:pPr>
        <w:autoSpaceDE w:val="0"/>
        <w:autoSpaceDN w:val="0"/>
        <w:adjustRightInd w:val="0"/>
        <w:spacing w:line="600" w:lineRule="exact"/>
        <w:ind w:firstLine="640" w:firstLineChars="200"/>
        <w:jc w:val="left"/>
        <w:outlineLvl w:val="2"/>
        <w:rPr>
          <w:rFonts w:ascii="仿宋" w:hAnsi="仿宋" w:eastAsia="仿宋"/>
          <w:color w:val="000000"/>
          <w:sz w:val="32"/>
          <w:szCs w:val="32"/>
        </w:rPr>
      </w:pPr>
      <w:bookmarkStart w:id="54" w:name="_Toc15377224"/>
      <w:r>
        <w:rPr>
          <w:rFonts w:hint="eastAsia" w:ascii="仿宋" w:hAnsi="仿宋" w:eastAsia="仿宋"/>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日，共有车辆2辆，其中：部级领导干部用车0辆、一般公务用车0辆、一般执法执勤用车2辆、特种专业技术用车0辆、其他用车0辆；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widowControl/>
        <w:spacing w:line="600" w:lineRule="exact"/>
        <w:jc w:val="left"/>
        <w:rPr>
          <w:rFonts w:ascii="仿宋_GB2312" w:eastAsia="仿宋_GB2312"/>
          <w:b/>
          <w:color w:val="000000"/>
          <w:sz w:val="32"/>
          <w:szCs w:val="32"/>
        </w:rPr>
      </w:pPr>
    </w:p>
    <w:p>
      <w:pPr>
        <w:jc w:val="center"/>
        <w:rPr>
          <w:rFonts w:ascii="黑体" w:eastAsia="黑体"/>
          <w:sz w:val="32"/>
          <w:szCs w:val="32"/>
        </w:rPr>
      </w:pPr>
      <w:bookmarkStart w:id="55" w:name="_Toc15377225"/>
      <w:bookmarkStart w:id="56" w:name="_Toc15396613"/>
      <w:r>
        <w:rPr>
          <w:rFonts w:hint="eastAsia" w:ascii="黑体" w:eastAsia="黑体"/>
          <w:sz w:val="32"/>
          <w:szCs w:val="32"/>
        </w:rPr>
        <w:t>第三部分 名词解释</w:t>
      </w:r>
      <w:bookmarkEnd w:id="55"/>
      <w:bookmarkEnd w:id="56"/>
    </w:p>
    <w:p>
      <w:pPr>
        <w:pStyle w:val="22"/>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6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60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60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Style w:val="14"/>
          <w:rFonts w:hint="eastAsia" w:ascii="仿宋_GB2312" w:eastAsia="仿宋_GB2312"/>
          <w:b w:val="0"/>
          <w:color w:val="000000"/>
          <w:sz w:val="32"/>
          <w:szCs w:val="32"/>
        </w:rPr>
        <w:t>交通运输支出（类）公路水路运输（款）公路运输管理（项）</w:t>
      </w:r>
      <w:r>
        <w:rPr>
          <w:rFonts w:hint="eastAsia" w:ascii="仿宋_GB2312" w:eastAsia="仿宋_GB2312"/>
          <w:color w:val="000000"/>
          <w:sz w:val="32"/>
          <w:szCs w:val="32"/>
        </w:rPr>
        <w:t>：指公路运输管理支出和公路路政管理支出。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Style w:val="14"/>
          <w:rFonts w:hint="eastAsia" w:ascii="仿宋_GB2312" w:eastAsia="仿宋_GB2312"/>
          <w:b w:val="0"/>
          <w:color w:val="000000"/>
          <w:sz w:val="32"/>
          <w:szCs w:val="32"/>
        </w:rPr>
        <w:t>交通运输支出（类）公路水路运输（款）行政运行（项）</w:t>
      </w:r>
      <w:r>
        <w:rPr>
          <w:rFonts w:hint="eastAsia" w:ascii="仿宋_GB2312" w:eastAsia="仿宋_GB2312"/>
          <w:color w:val="000000"/>
          <w:sz w:val="32"/>
          <w:szCs w:val="32"/>
        </w:rPr>
        <w:t>：指行政单位（包括实行公务员管理的事业单位）的基本支出。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Style w:val="14"/>
          <w:rFonts w:hint="eastAsia" w:ascii="仿宋_GB2312" w:eastAsia="仿宋_GB2312"/>
          <w:b w:val="0"/>
          <w:color w:val="000000"/>
          <w:sz w:val="32"/>
          <w:szCs w:val="32"/>
        </w:rPr>
        <w:t>社会保障和就业支出（类）行政事业单位离退休（款）事业单位离退休（项）</w:t>
      </w:r>
      <w:r>
        <w:rPr>
          <w:rFonts w:hint="eastAsia" w:ascii="仿宋_GB2312" w:eastAsia="仿宋_GB2312"/>
          <w:color w:val="000000"/>
          <w:sz w:val="32"/>
          <w:szCs w:val="32"/>
        </w:rPr>
        <w:t>：指实行归口管理的事业单位开支的离退休经费。</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Style w:val="14"/>
          <w:rFonts w:hint="eastAsia" w:ascii="仿宋_GB2312" w:eastAsia="仿宋_GB2312"/>
          <w:b w:val="0"/>
          <w:color w:val="000000"/>
          <w:sz w:val="32"/>
          <w:szCs w:val="32"/>
        </w:rPr>
        <w:t>社会保障和就业支出（类）行政事业单位离退休（款）未归口管理的行政单位离退休（项）</w:t>
      </w:r>
      <w:r>
        <w:rPr>
          <w:rFonts w:hint="eastAsia" w:ascii="仿宋_GB2312" w:eastAsia="仿宋_GB2312"/>
          <w:color w:val="000000"/>
          <w:sz w:val="32"/>
          <w:szCs w:val="32"/>
        </w:rPr>
        <w:t>：指未实行归口管理的行政单位（包括实行公务员管理的事业单位）开支的离退休支出。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Style w:val="14"/>
          <w:rFonts w:hint="eastAsia" w:ascii="仿宋_GB2312" w:eastAsia="仿宋_GB2312"/>
          <w:b w:val="0"/>
          <w:color w:val="000000"/>
          <w:sz w:val="32"/>
          <w:szCs w:val="32"/>
        </w:rPr>
        <w:t>社会保障和就业支出（类）行政事业单位离退休（款）机关事业单位基本养老保险缴费支出（项）</w:t>
      </w:r>
      <w:r>
        <w:rPr>
          <w:rFonts w:hint="eastAsia" w:ascii="仿宋_GB2312" w:eastAsia="仿宋_GB2312"/>
          <w:color w:val="000000"/>
          <w:sz w:val="32"/>
          <w:szCs w:val="32"/>
        </w:rPr>
        <w:t>：指机关事业单位实施养老保险制度由单位缴纳的基本养老保险费支出。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Style w:val="14"/>
          <w:rFonts w:hint="eastAsia" w:ascii="仿宋_GB2312" w:eastAsia="仿宋_GB2312"/>
          <w:b w:val="0"/>
          <w:color w:val="000000"/>
          <w:sz w:val="32"/>
          <w:szCs w:val="32"/>
        </w:rPr>
        <w:t>社会保障和就业支出（类）行政事业单位离退休（款）机关事业单位职业年金缴费支出（项）</w:t>
      </w:r>
      <w:r>
        <w:rPr>
          <w:rFonts w:hint="eastAsia" w:ascii="仿宋_GB2312" w:eastAsia="仿宋_GB2312"/>
          <w:color w:val="000000"/>
          <w:sz w:val="32"/>
          <w:szCs w:val="32"/>
        </w:rPr>
        <w:t>：指机关事业单位实施养老保险制度由单位实际缴纳的职业年金支出。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Style w:val="14"/>
          <w:rFonts w:hint="eastAsia" w:ascii="仿宋_GB2312" w:eastAsia="仿宋_GB2312"/>
          <w:b w:val="0"/>
          <w:color w:val="000000"/>
          <w:sz w:val="32"/>
          <w:szCs w:val="32"/>
        </w:rPr>
        <w:t>医疗卫生与计划生育支出（类）行政事业单位医疗（款）事业单位医疗（项）</w:t>
      </w:r>
      <w:r>
        <w:rPr>
          <w:rFonts w:hint="eastAsia" w:ascii="仿宋_GB2312" w:eastAsia="仿宋_GB2312"/>
          <w:color w:val="000000"/>
          <w:sz w:val="32"/>
          <w:szCs w:val="32"/>
        </w:rPr>
        <w:t>：指</w:t>
      </w:r>
      <w:r>
        <w:rPr>
          <w:rStyle w:val="14"/>
          <w:rFonts w:hint="eastAsia" w:ascii="仿宋_GB2312" w:eastAsia="仿宋_GB2312"/>
          <w:b w:val="0"/>
          <w:color w:val="000000"/>
          <w:sz w:val="32"/>
          <w:szCs w:val="32"/>
        </w:rPr>
        <w:t>财政部门集中安排的事业单位基本医疗保险缴费经费</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Style w:val="14"/>
          <w:rFonts w:hint="eastAsia" w:ascii="仿宋_GB2312" w:eastAsia="仿宋_GB2312"/>
          <w:b w:val="0"/>
          <w:color w:val="000000"/>
          <w:sz w:val="32"/>
          <w:szCs w:val="32"/>
        </w:rPr>
        <w:t>医疗卫生与计划生育支出（类）行政事业单位医疗（款）公务员医疗补助（项）</w:t>
      </w:r>
      <w:r>
        <w:rPr>
          <w:rFonts w:hint="eastAsia" w:ascii="仿宋_GB2312" w:eastAsia="仿宋_GB2312"/>
          <w:color w:val="000000"/>
          <w:sz w:val="32"/>
          <w:szCs w:val="32"/>
        </w:rPr>
        <w:t>：指</w:t>
      </w:r>
      <w:r>
        <w:rPr>
          <w:rStyle w:val="14"/>
          <w:rFonts w:hint="eastAsia" w:ascii="仿宋_GB2312" w:eastAsia="仿宋_GB2312"/>
          <w:b w:val="0"/>
          <w:color w:val="000000"/>
          <w:sz w:val="32"/>
          <w:szCs w:val="32"/>
        </w:rPr>
        <w:t>财政部门集中安排的公务员医疗补助经费</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Style w:val="14"/>
          <w:rFonts w:hint="eastAsia" w:ascii="仿宋_GB2312" w:eastAsia="仿宋_GB2312"/>
          <w:b w:val="0"/>
          <w:color w:val="000000"/>
          <w:sz w:val="32"/>
          <w:szCs w:val="32"/>
        </w:rPr>
        <w:t>医疗卫生与计划生育支出（类）其他医疗卫生与计划生育支出（款）其他医疗卫生与计划生育支出（项）</w:t>
      </w:r>
      <w:r>
        <w:rPr>
          <w:rFonts w:hint="eastAsia" w:ascii="仿宋_GB2312" w:eastAsia="仿宋_GB2312"/>
          <w:color w:val="000000"/>
          <w:sz w:val="32"/>
          <w:szCs w:val="32"/>
        </w:rPr>
        <w:t>：指除</w:t>
      </w:r>
      <w:r>
        <w:rPr>
          <w:rStyle w:val="14"/>
          <w:rFonts w:hint="eastAsia" w:ascii="仿宋_GB2312" w:eastAsia="仿宋_GB2312"/>
          <w:b w:val="0"/>
          <w:color w:val="000000"/>
          <w:sz w:val="32"/>
          <w:szCs w:val="32"/>
        </w:rPr>
        <w:t>上述项目以外其他用于医疗卫生与计划生育方面的支出</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Style w:val="14"/>
          <w:rFonts w:hint="eastAsia" w:ascii="仿宋_GB2312" w:eastAsia="仿宋_GB2312"/>
          <w:b w:val="0"/>
          <w:color w:val="000000"/>
          <w:sz w:val="32"/>
          <w:szCs w:val="32"/>
        </w:rPr>
        <w:t>住房保障支出（类）住房改革支出（款）住房公积金（项）</w:t>
      </w:r>
      <w:r>
        <w:rPr>
          <w:rFonts w:hint="eastAsia" w:ascii="仿宋_GB2312" w:eastAsia="仿宋_GB2312"/>
          <w:color w:val="000000"/>
          <w:sz w:val="32"/>
          <w:szCs w:val="32"/>
        </w:rPr>
        <w:t>：指</w:t>
      </w:r>
      <w:r>
        <w:rPr>
          <w:rStyle w:val="14"/>
          <w:rFonts w:hint="eastAsia" w:ascii="仿宋_GB2312" w:eastAsia="仿宋_GB2312"/>
          <w:b w:val="0"/>
          <w:color w:val="000000"/>
          <w:sz w:val="32"/>
          <w:szCs w:val="32"/>
        </w:rPr>
        <w:t>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60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600" w:lineRule="exact"/>
        <w:ind w:firstLine="640" w:firstLineChars="200"/>
        <w:rPr>
          <w:rFonts w:ascii="仿宋_GB2312" w:eastAsia="仿宋_GB2312"/>
          <w:sz w:val="32"/>
          <w:szCs w:val="32"/>
        </w:rPr>
      </w:pPr>
      <w:r>
        <w:rPr>
          <w:rFonts w:hint="eastAsia" w:ascii="仿宋_GB2312" w:eastAsia="仿宋_GB2312"/>
          <w:sz w:val="32"/>
          <w:szCs w:val="32"/>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Style w:val="24"/>
          <w:rFonts w:ascii="黑体" w:hAnsi="黑体" w:eastAsia="黑体"/>
          <w:b w:val="0"/>
          <w:sz w:val="32"/>
          <w:szCs w:val="32"/>
        </w:rPr>
      </w:pPr>
      <w:r>
        <w:rPr>
          <w:rFonts w:hint="eastAsia" w:ascii="黑体" w:hAnsi="黑体" w:eastAsia="黑体"/>
          <w:color w:val="000000"/>
          <w:sz w:val="32"/>
          <w:szCs w:val="32"/>
        </w:rPr>
        <w:t>第</w:t>
      </w:r>
      <w:r>
        <w:rPr>
          <w:rStyle w:val="24"/>
          <w:rFonts w:hint="eastAsia" w:ascii="黑体" w:hAnsi="黑体" w:eastAsia="黑体"/>
          <w:b w:val="0"/>
          <w:sz w:val="32"/>
          <w:szCs w:val="32"/>
        </w:rPr>
        <w:t>四部分 附件</w:t>
      </w:r>
      <w:bookmarkEnd w:id="57"/>
    </w:p>
    <w:p>
      <w:pPr>
        <w:rPr>
          <w:rFonts w:ascii="仿宋_GB2312" w:eastAsia="仿宋_GB2312"/>
          <w:sz w:val="32"/>
          <w:szCs w:val="32"/>
        </w:rPr>
      </w:pPr>
      <w:bookmarkStart w:id="59" w:name="_Toc15396615"/>
      <w:r>
        <w:rPr>
          <w:rFonts w:hint="eastAsia" w:ascii="仿宋_GB2312" w:eastAsia="仿宋_GB2312"/>
          <w:sz w:val="32"/>
          <w:szCs w:val="32"/>
        </w:rPr>
        <w:t>附件1</w:t>
      </w:r>
      <w:bookmarkEnd w:id="59"/>
    </w:p>
    <w:p>
      <w:pPr>
        <w:spacing w:line="600" w:lineRule="exact"/>
        <w:jc w:val="center"/>
        <w:outlineLvl w:val="0"/>
        <w:rPr>
          <w:rFonts w:ascii="黑体" w:hAnsi="黑体" w:eastAsia="黑体" w:cs="方正小标宋简体"/>
          <w:sz w:val="44"/>
          <w:szCs w:val="44"/>
        </w:rPr>
      </w:pPr>
      <w:bookmarkStart w:id="60" w:name="_Toc15396616"/>
      <w:r>
        <w:rPr>
          <w:rFonts w:hint="eastAsia" w:ascii="黑体" w:hAnsi="黑体" w:eastAsia="黑体" w:cs="方正小标宋简体"/>
          <w:sz w:val="44"/>
          <w:szCs w:val="44"/>
        </w:rPr>
        <w:t>广汉市交通运输管理处</w:t>
      </w:r>
    </w:p>
    <w:p>
      <w:pPr>
        <w:spacing w:line="600" w:lineRule="exact"/>
        <w:jc w:val="center"/>
        <w:outlineLvl w:val="0"/>
        <w:rPr>
          <w:rFonts w:ascii="黑体" w:hAnsi="黑体" w:eastAsia="黑体" w:cs="方正小标宋简体"/>
          <w:sz w:val="44"/>
          <w:szCs w:val="44"/>
        </w:rPr>
      </w:pPr>
      <w:r>
        <w:rPr>
          <w:rFonts w:hint="eastAsia" w:ascii="黑体" w:hAnsi="黑体" w:eastAsia="黑体" w:cs="方正小标宋简体"/>
          <w:sz w:val="44"/>
          <w:szCs w:val="44"/>
        </w:rPr>
        <w:t>2018年部门整体支出绩效评价报告</w:t>
      </w:r>
      <w:bookmarkEnd w:id="60"/>
    </w:p>
    <w:p>
      <w:pPr>
        <w:ind w:firstLine="640" w:firstLineChars="200"/>
        <w:rPr>
          <w:rFonts w:ascii="黑体" w:eastAsia="黑体"/>
          <w:sz w:val="32"/>
          <w:szCs w:val="32"/>
        </w:rPr>
      </w:pPr>
      <w:r>
        <w:rPr>
          <w:rFonts w:hint="eastAsia" w:ascii="黑体" w:eastAsia="黑体"/>
          <w:sz w:val="32"/>
          <w:szCs w:val="32"/>
        </w:rPr>
        <w:t>一、部门（单位）概况</w:t>
      </w:r>
    </w:p>
    <w:p>
      <w:pPr>
        <w:ind w:firstLine="643" w:firstLineChars="200"/>
        <w:rPr>
          <w:rFonts w:ascii="仿宋_GB2312" w:eastAsia="仿宋_GB2312"/>
          <w:b/>
          <w:sz w:val="32"/>
          <w:szCs w:val="32"/>
        </w:rPr>
      </w:pPr>
      <w:r>
        <w:rPr>
          <w:rFonts w:hint="eastAsia" w:ascii="仿宋_GB2312" w:eastAsia="仿宋_GB2312"/>
          <w:b/>
          <w:sz w:val="32"/>
          <w:szCs w:val="32"/>
        </w:rPr>
        <w:t>（一）机构组成。</w:t>
      </w:r>
    </w:p>
    <w:p>
      <w:pPr>
        <w:ind w:firstLine="640" w:firstLineChars="200"/>
        <w:rPr>
          <w:rFonts w:ascii="仿宋_GB2312" w:eastAsia="仿宋_GB2312"/>
          <w:kern w:val="0"/>
          <w:sz w:val="32"/>
          <w:szCs w:val="32"/>
          <w:shd w:val="clear" w:color="auto" w:fill="FFFFFF"/>
          <w:lang w:val="zh-CN"/>
        </w:rPr>
      </w:pPr>
      <w:r>
        <w:rPr>
          <w:rFonts w:hint="eastAsia" w:ascii="仿宋_GB2312" w:eastAsia="仿宋_GB2312"/>
          <w:sz w:val="32"/>
          <w:szCs w:val="32"/>
        </w:rPr>
        <w:t>我</w:t>
      </w:r>
      <w:r>
        <w:rPr>
          <w:rFonts w:hint="eastAsia" w:ascii="仿宋_GB2312" w:hAnsi="仿宋" w:eastAsia="仿宋_GB2312"/>
          <w:sz w:val="32"/>
          <w:szCs w:val="32"/>
        </w:rPr>
        <w:t>处内设机构为五股一室，分别为办公室、财务统计股、客货运输管理股、安全稽查股、车辆技术和维修管理股、法规股。</w:t>
      </w:r>
    </w:p>
    <w:p>
      <w:pPr>
        <w:widowControl/>
        <w:adjustRightInd w:val="0"/>
        <w:snapToGrid w:val="0"/>
        <w:spacing w:line="6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（二）机构职能。</w:t>
      </w:r>
    </w:p>
    <w:p>
      <w:pPr>
        <w:spacing w:line="600" w:lineRule="exact"/>
        <w:ind w:firstLine="600"/>
        <w:rPr>
          <w:rFonts w:ascii="仿宋_GB2312" w:eastAsia="仿宋_GB2312"/>
          <w:sz w:val="32"/>
          <w:szCs w:val="32"/>
        </w:rPr>
      </w:pPr>
      <w:r>
        <w:rPr>
          <w:rFonts w:hint="eastAsia" w:ascii="仿宋_GB2312" w:eastAsia="仿宋_GB2312"/>
          <w:sz w:val="32"/>
          <w:szCs w:val="32"/>
        </w:rPr>
        <w:t>广汉市交通运输管理处依法行使对全市道路运输行业的行政管理职权，负责对全市道路旅客运输、货物运输以及道路运输站场、机动车维修等相关业务实施行政管理。</w:t>
      </w:r>
    </w:p>
    <w:p>
      <w:pPr>
        <w:widowControl/>
        <w:adjustRightInd w:val="0"/>
        <w:snapToGrid w:val="0"/>
        <w:spacing w:line="6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（三）人员概况。</w:t>
      </w:r>
    </w:p>
    <w:p>
      <w:pPr>
        <w:spacing w:line="600" w:lineRule="exact"/>
        <w:ind w:firstLine="600"/>
        <w:rPr>
          <w:rFonts w:ascii="仿宋_GB2312" w:eastAsia="仿宋_GB2312"/>
          <w:sz w:val="32"/>
          <w:szCs w:val="32"/>
        </w:rPr>
      </w:pPr>
      <w:r>
        <w:rPr>
          <w:rFonts w:hint="eastAsia" w:ascii="仿宋_GB2312" w:eastAsia="仿宋_GB2312"/>
          <w:sz w:val="32"/>
          <w:szCs w:val="32"/>
        </w:rPr>
        <w:t>广汉市交通运输管理处是具有参公管理性质的事业单位，参公编制数40人，2018年年末实有在职人员33人，退休人员18人。</w:t>
      </w:r>
    </w:p>
    <w:p>
      <w:pPr>
        <w:widowControl/>
        <w:adjustRightInd w:val="0"/>
        <w:snapToGrid w:val="0"/>
        <w:spacing w:line="60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6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（一）部门财政资金收入情况。</w:t>
      </w:r>
    </w:p>
    <w:p>
      <w:pPr>
        <w:spacing w:line="600" w:lineRule="exact"/>
        <w:ind w:firstLine="800" w:firstLineChars="250"/>
        <w:rPr>
          <w:rFonts w:ascii="仿宋_GB2312" w:eastAsia="仿宋_GB2312"/>
          <w:sz w:val="32"/>
          <w:szCs w:val="32"/>
        </w:rPr>
      </w:pPr>
      <w:r>
        <w:rPr>
          <w:rFonts w:hint="eastAsia" w:ascii="仿宋_GB2312" w:eastAsia="仿宋_GB2312"/>
          <w:sz w:val="32"/>
          <w:szCs w:val="32"/>
        </w:rPr>
        <w:t xml:space="preserve">2018年收入941.79万元， 其中：2018年财政拨款收入941.79万元（财政拨款基本收入941.79万元）。 </w:t>
      </w:r>
    </w:p>
    <w:p>
      <w:pPr>
        <w:widowControl/>
        <w:adjustRightInd w:val="0"/>
        <w:snapToGrid w:val="0"/>
        <w:spacing w:line="6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（二）部门财政资金支出情况。</w:t>
      </w:r>
    </w:p>
    <w:p>
      <w:pPr>
        <w:widowControl/>
        <w:adjustRightInd w:val="0"/>
        <w:snapToGrid w:val="0"/>
        <w:spacing w:line="60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2018年支出941.79万元，其中：2018年财政拨款支出927.71万元（基本支出927.71万元）；年末结转14.08万元。</w:t>
      </w:r>
    </w:p>
    <w:p>
      <w:pPr>
        <w:widowControl/>
        <w:adjustRightInd w:val="0"/>
        <w:snapToGrid w:val="0"/>
        <w:spacing w:line="60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w:t>
      </w:r>
      <w:r>
        <w:rPr>
          <w:rFonts w:hint="eastAsia" w:ascii="黑体" w:hAnsi="黑体" w:eastAsia="黑体" w:cs="黑体"/>
          <w:sz w:val="32"/>
          <w:szCs w:val="32"/>
        </w:rPr>
        <w:t>部门整体预算绩效管理情况</w:t>
      </w:r>
    </w:p>
    <w:p>
      <w:pPr>
        <w:widowControl/>
        <w:adjustRightInd w:val="0"/>
        <w:snapToGrid w:val="0"/>
        <w:spacing w:line="6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（一）预算编制情况。</w:t>
      </w:r>
    </w:p>
    <w:p>
      <w:pPr>
        <w:widowControl/>
        <w:adjustRightInd w:val="0"/>
        <w:snapToGrid w:val="0"/>
        <w:spacing w:line="600" w:lineRule="exact"/>
        <w:ind w:firstLine="720"/>
        <w:jc w:val="left"/>
        <w:rPr>
          <w:rFonts w:ascii="仿宋_GB2312" w:eastAsia="仿宋_GB2312"/>
          <w:sz w:val="32"/>
          <w:szCs w:val="32"/>
        </w:rPr>
      </w:pPr>
      <w:r>
        <w:rPr>
          <w:rFonts w:hint="eastAsia" w:ascii="仿宋_GB2312" w:eastAsia="仿宋_GB2312"/>
          <w:sz w:val="32"/>
          <w:szCs w:val="32"/>
        </w:rPr>
        <w:t>我处高度重视，精心组织，坚持厉行节约和从紧编制预算的原则，加强预算绩效管理，严格贯彻《预算法》，科学合理编制预算。</w:t>
      </w:r>
    </w:p>
    <w:p>
      <w:pPr>
        <w:widowControl/>
        <w:adjustRightInd w:val="0"/>
        <w:snapToGrid w:val="0"/>
        <w:spacing w:line="600" w:lineRule="exact"/>
        <w:ind w:firstLine="720"/>
        <w:jc w:val="left"/>
        <w:rPr>
          <w:rFonts w:ascii="仿宋_GB2312" w:eastAsia="仿宋_GB2312"/>
          <w:b/>
          <w:sz w:val="32"/>
          <w:szCs w:val="32"/>
        </w:rPr>
      </w:pPr>
      <w:r>
        <w:rPr>
          <w:rFonts w:hint="eastAsia" w:ascii="仿宋_GB2312" w:eastAsia="仿宋_GB2312"/>
          <w:b/>
          <w:sz w:val="32"/>
          <w:szCs w:val="32"/>
        </w:rPr>
        <w:t>（二）执行管理情况。</w:t>
      </w:r>
    </w:p>
    <w:p>
      <w:pPr>
        <w:widowControl/>
        <w:adjustRightInd w:val="0"/>
        <w:snapToGrid w:val="0"/>
        <w:spacing w:line="600" w:lineRule="exact"/>
        <w:ind w:firstLine="720"/>
        <w:jc w:val="left"/>
        <w:rPr>
          <w:rFonts w:ascii="仿宋_GB2312" w:eastAsia="仿宋_GB2312"/>
          <w:sz w:val="32"/>
          <w:szCs w:val="32"/>
        </w:rPr>
      </w:pPr>
      <w:r>
        <w:rPr>
          <w:rFonts w:hint="eastAsia" w:ascii="仿宋_GB2312" w:eastAsia="仿宋_GB2312"/>
          <w:sz w:val="32"/>
          <w:szCs w:val="32"/>
        </w:rPr>
        <w:t>1.部门预算执行进度情况</w:t>
      </w:r>
    </w:p>
    <w:p>
      <w:pPr>
        <w:widowControl/>
        <w:adjustRightInd w:val="0"/>
        <w:snapToGrid w:val="0"/>
        <w:spacing w:line="600" w:lineRule="exact"/>
        <w:ind w:firstLine="720"/>
        <w:jc w:val="left"/>
        <w:rPr>
          <w:rFonts w:ascii="仿宋_GB2312" w:eastAsia="仿宋_GB2312"/>
          <w:sz w:val="32"/>
          <w:szCs w:val="32"/>
        </w:rPr>
      </w:pPr>
      <w:r>
        <w:rPr>
          <w:rFonts w:hint="eastAsia" w:ascii="仿宋_GB2312" w:eastAsia="仿宋_GB2312"/>
          <w:sz w:val="32"/>
          <w:szCs w:val="32"/>
        </w:rPr>
        <w:t>按照广汉市财政局下达的2018年部门预算，建立预算执行管理责任制，财务部门对单位的财政预算指标、已批复用款计划及资金支付数进行全面认真地账务核对和梳理，严格按照批复的预算、用款计划的要求支付资金，加强账务核算和资金支付管理等环节的基础工作。定期将预算执行的相关信息进行统计分析，及时发现并解决存在问题。</w:t>
      </w:r>
    </w:p>
    <w:p>
      <w:pPr>
        <w:widowControl/>
        <w:adjustRightInd w:val="0"/>
        <w:snapToGrid w:val="0"/>
        <w:spacing w:line="600" w:lineRule="exact"/>
        <w:ind w:firstLine="720"/>
        <w:jc w:val="left"/>
        <w:rPr>
          <w:rFonts w:ascii="仿宋_GB2312" w:eastAsia="仿宋_GB2312"/>
          <w:sz w:val="32"/>
          <w:szCs w:val="32"/>
        </w:rPr>
      </w:pPr>
      <w:r>
        <w:rPr>
          <w:rFonts w:hint="eastAsia" w:ascii="仿宋_GB2312" w:eastAsia="仿宋_GB2312"/>
          <w:sz w:val="32"/>
          <w:szCs w:val="32"/>
        </w:rPr>
        <w:t>2.节能降耗执行情况</w:t>
      </w:r>
    </w:p>
    <w:p>
      <w:pPr>
        <w:widowControl/>
        <w:adjustRightInd w:val="0"/>
        <w:snapToGrid w:val="0"/>
        <w:spacing w:line="600" w:lineRule="exact"/>
        <w:ind w:firstLine="720"/>
        <w:jc w:val="left"/>
        <w:rPr>
          <w:rFonts w:ascii="仿宋_GB2312" w:eastAsia="仿宋_GB2312"/>
          <w:sz w:val="32"/>
          <w:szCs w:val="32"/>
        </w:rPr>
      </w:pPr>
      <w:r>
        <w:rPr>
          <w:rFonts w:hint="eastAsia" w:ascii="仿宋_GB2312" w:eastAsia="仿宋_GB2312"/>
          <w:sz w:val="32"/>
          <w:szCs w:val="32"/>
        </w:rPr>
        <w:t>强化内部管理，责任到股室、到人员，全员管控，强化监督检查，切实降低能源消耗，杜绝浪费。</w:t>
      </w:r>
    </w:p>
    <w:p>
      <w:pPr>
        <w:widowControl/>
        <w:adjustRightInd w:val="0"/>
        <w:snapToGrid w:val="0"/>
        <w:spacing w:line="60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3.“三公”经费预算执行情况</w:t>
      </w:r>
    </w:p>
    <w:p>
      <w:pPr>
        <w:spacing w:line="600" w:lineRule="exact"/>
        <w:ind w:firstLine="600"/>
        <w:rPr>
          <w:rFonts w:ascii="仿宋_GB2312" w:eastAsia="仿宋_GB2312"/>
          <w:sz w:val="32"/>
          <w:szCs w:val="32"/>
        </w:rPr>
      </w:pPr>
      <w:r>
        <w:rPr>
          <w:rFonts w:hint="eastAsia" w:ascii="仿宋_GB2312" w:eastAsia="仿宋_GB2312"/>
          <w:sz w:val="32"/>
          <w:szCs w:val="32"/>
        </w:rPr>
        <w:t>（1）2018年“三公”经费支出6.02万元，其中公务用车运行维护费5.96万元，公务接待费0.06万元。2018年“三公”经费年初预算数7.2万元， 2018年决算数较年初预算数减少1.18万元，2018年“三公”经费总额支出较上年增加1.3万元，增长27.54%，主要原因是加强道路运输管理工作力度，执法车辆使用频繁，加之车辆老化，增加了维修费等支出。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（2）2018年公务用车购置数0，公务用车保有量2辆，其中：执法执勤用车2辆。 </w:t>
      </w:r>
    </w:p>
    <w:p>
      <w:pPr>
        <w:spacing w:line="600" w:lineRule="exact"/>
        <w:ind w:firstLine="600"/>
        <w:rPr>
          <w:rFonts w:ascii="仿宋_GB2312" w:eastAsia="仿宋_GB2312"/>
          <w:sz w:val="32"/>
          <w:szCs w:val="32"/>
        </w:rPr>
      </w:pPr>
      <w:r>
        <w:rPr>
          <w:rFonts w:hint="eastAsia" w:ascii="仿宋_GB2312" w:eastAsia="仿宋_GB2312"/>
          <w:sz w:val="32"/>
          <w:szCs w:val="32"/>
        </w:rPr>
        <w:t>（3）因公出国（境）团组数及人数0，国内公务接待1批次，接待人数7人。</w:t>
      </w:r>
    </w:p>
    <w:p>
      <w:pPr>
        <w:widowControl/>
        <w:adjustRightInd w:val="0"/>
        <w:snapToGrid w:val="0"/>
        <w:spacing w:line="6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（三）综合管理情况。</w:t>
      </w:r>
    </w:p>
    <w:p>
      <w:pPr>
        <w:widowControl/>
        <w:adjustRightInd w:val="0"/>
        <w:snapToGrid w:val="0"/>
        <w:spacing w:line="60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1.非税收入执收情况</w:t>
      </w:r>
    </w:p>
    <w:p>
      <w:pPr>
        <w:widowControl/>
        <w:adjustRightInd w:val="0"/>
        <w:snapToGrid w:val="0"/>
        <w:spacing w:line="60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处非税收入征收主要为交通罚没收入，按照《中华人民共和国道路运输管理条例》、《四川省道路运输管理条例》、《道路旅客运输及客运站管理规定》、《巡游出租汽车经营服务管理规定》等法律法规为处罚依据，2018年非税收入征收数20.94万元（其中交通罚没收入20.35万元，其他利息收入0.59万元），已及时足额缴入本级国库。</w:t>
      </w:r>
    </w:p>
    <w:p>
      <w:pPr>
        <w:widowControl/>
        <w:adjustRightInd w:val="0"/>
        <w:snapToGrid w:val="0"/>
        <w:spacing w:line="600" w:lineRule="exact"/>
        <w:ind w:firstLine="640" w:firstLineChars="200"/>
        <w:jc w:val="left"/>
        <w:rPr>
          <w:rFonts w:ascii="仿宋_GB2312" w:eastAsia="仿宋_GB2312"/>
          <w:sz w:val="32"/>
          <w:szCs w:val="32"/>
        </w:rPr>
      </w:pPr>
      <w:r>
        <w:rPr>
          <w:rFonts w:hint="eastAsia" w:ascii="仿宋_GB2312" w:hAnsi="宋体" w:eastAsia="仿宋_GB2312" w:cs="宋体"/>
          <w:color w:val="000000"/>
          <w:kern w:val="0"/>
          <w:sz w:val="32"/>
          <w:szCs w:val="32"/>
          <w:shd w:val="clear" w:color="auto" w:fill="FFFFFF"/>
          <w:lang w:val="zh-CN"/>
        </w:rPr>
        <w:t>2.资产管理情况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我处资产管理工作严格执行国家有关法律、法规和有关财务、会计制度规定，合理配备并节约、有效使用资产，实时掌握资产来源、去向、使用、处置情况，对新增资产及时入账，落实保管制度，责任到人，对减少资产由处办公室等相关股室按照资产处置流程进行处置。资产管理由财务部门进行价值核算，并设专人进行资产实物卡片管理及使用情况监督，真实反映单位的资产及财务状况，保证账物卡相符。建立了严格的资产交付使用验收制度，重视资产的使用保养，以发挥资产的最大利用率。</w:t>
      </w:r>
    </w:p>
    <w:p>
      <w:pPr>
        <w:widowControl/>
        <w:adjustRightInd w:val="0"/>
        <w:snapToGrid w:val="0"/>
        <w:spacing w:line="60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3.内控制度管理情况</w:t>
      </w:r>
    </w:p>
    <w:p>
      <w:pPr>
        <w:widowControl/>
        <w:adjustRightInd w:val="0"/>
        <w:snapToGrid w:val="0"/>
        <w:spacing w:line="60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处成立了内控领导小组，由单位负责人任内控领导小组组长，明确了内控牵头部门与监督部门职责分工，岗位责任落实层层把关，层层监督，进一步建立健全了内控管理制度，增强内控管理人员工作意识，严格执行内控管理制度。</w:t>
      </w:r>
    </w:p>
    <w:p>
      <w:pPr>
        <w:widowControl/>
        <w:adjustRightInd w:val="0"/>
        <w:snapToGrid w:val="0"/>
        <w:spacing w:line="60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4.信息公开情况</w:t>
      </w:r>
    </w:p>
    <w:p>
      <w:pPr>
        <w:widowControl/>
        <w:adjustRightInd w:val="0"/>
        <w:snapToGrid w:val="0"/>
        <w:spacing w:line="60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按照广汉市财政局的要求，我处认真开展信息公开工作，及时向社会公开单位部门预决算、“三公”经费情况、绩效信息，自觉接受社会监督。</w:t>
      </w:r>
    </w:p>
    <w:p>
      <w:pPr>
        <w:widowControl/>
        <w:adjustRightInd w:val="0"/>
        <w:snapToGrid w:val="0"/>
        <w:spacing w:line="60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5.绩效评价及依法接受财政监督情况</w:t>
      </w:r>
    </w:p>
    <w:p>
      <w:pPr>
        <w:widowControl/>
        <w:adjustRightInd w:val="0"/>
        <w:snapToGrid w:val="0"/>
        <w:spacing w:line="60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我处认真开展绩效评价工作，并依法接受财政监督。</w:t>
      </w:r>
    </w:p>
    <w:p>
      <w:pPr>
        <w:widowControl/>
        <w:adjustRightInd w:val="0"/>
        <w:snapToGrid w:val="0"/>
        <w:spacing w:line="600" w:lineRule="exact"/>
        <w:ind w:firstLine="720"/>
        <w:jc w:val="left"/>
        <w:rPr>
          <w:rFonts w:ascii="仿宋_GB2312" w:hAnsi="宋体" w:eastAsia="仿宋_GB2312" w:cs="宋体"/>
          <w:b/>
          <w:color w:val="000000"/>
          <w:kern w:val="0"/>
          <w:sz w:val="32"/>
          <w:szCs w:val="32"/>
          <w:shd w:val="clear" w:color="auto" w:fill="FFFFFF"/>
          <w:lang w:val="zh-CN"/>
        </w:rPr>
      </w:pPr>
      <w:r>
        <w:rPr>
          <w:rFonts w:hint="eastAsia" w:ascii="仿宋_GB2312" w:hAnsi="宋体" w:eastAsia="仿宋_GB2312" w:cs="宋体"/>
          <w:b/>
          <w:color w:val="000000"/>
          <w:kern w:val="0"/>
          <w:sz w:val="32"/>
          <w:szCs w:val="32"/>
          <w:shd w:val="clear" w:color="auto" w:fill="FFFFFF"/>
          <w:lang w:val="zh-CN"/>
        </w:rPr>
        <w:t>（四）整体绩效。</w:t>
      </w:r>
    </w:p>
    <w:p>
      <w:pPr>
        <w:spacing w:line="60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我处坚持把关系民生的工作摆在突出位置，把群众满意作为工作的原则，</w:t>
      </w:r>
      <w:r>
        <w:rPr>
          <w:rFonts w:hint="eastAsia" w:ascii="仿宋_GB2312" w:hAnsi="宋体" w:eastAsia="仿宋_GB2312" w:cs="宋体"/>
          <w:color w:val="000000"/>
          <w:kern w:val="0"/>
          <w:sz w:val="32"/>
          <w:szCs w:val="32"/>
          <w:shd w:val="clear" w:color="auto" w:fill="FFFFFF"/>
          <w:lang w:val="zh-CN"/>
        </w:rPr>
        <w:t>按照部门职能职责及2018年重点工作任务，大力发展公共交通，推进道路运输行业健康发展，维护行业和社会稳定。</w:t>
      </w:r>
    </w:p>
    <w:p>
      <w:pPr>
        <w:widowControl/>
        <w:adjustRightInd w:val="0"/>
        <w:snapToGrid w:val="0"/>
        <w:spacing w:line="60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600" w:lineRule="exact"/>
        <w:ind w:firstLine="720"/>
        <w:jc w:val="left"/>
        <w:rPr>
          <w:rFonts w:ascii="仿宋_GB2312" w:hAnsi="仿宋" w:eastAsia="仿宋_GB2312"/>
          <w:sz w:val="32"/>
          <w:szCs w:val="32"/>
        </w:rPr>
      </w:pPr>
      <w:r>
        <w:rPr>
          <w:rFonts w:hint="eastAsia" w:ascii="仿宋_GB2312" w:hAnsi="宋体" w:eastAsia="仿宋_GB2312" w:cs="宋体"/>
          <w:color w:val="000000"/>
          <w:kern w:val="0"/>
          <w:sz w:val="32"/>
          <w:szCs w:val="32"/>
          <w:shd w:val="clear" w:color="auto" w:fill="FFFFFF"/>
          <w:lang w:val="zh-CN"/>
        </w:rPr>
        <w:t>我处按照《预算法》按时完成预决算编制。在执行过程中有计划进行资金申报、使用，部门支出与预算基本一致，能达到预期目标。</w:t>
      </w:r>
      <w:r>
        <w:rPr>
          <w:rFonts w:hint="eastAsia" w:ascii="仿宋_GB2312" w:hAnsi="仿宋" w:eastAsia="仿宋_GB2312"/>
          <w:sz w:val="32"/>
          <w:szCs w:val="32"/>
        </w:rPr>
        <w:t>在预算编制时还不够精细，执行过程中存在预算经费科目与支出科目有差异的现象。在今后工作中，进一步健全财务基础管理制度和约束机制，加强全局的预算管理意识，提高预算编制的科学性、严谨性和可控性，有效地使用财政资金，提高财政资金使用效率。</w:t>
      </w:r>
    </w:p>
    <w:p>
      <w:pPr>
        <w:widowControl/>
        <w:spacing w:line="600" w:lineRule="exact"/>
        <w:jc w:val="left"/>
        <w:rPr>
          <w:rFonts w:ascii="仿宋_GB2312" w:hAnsi="仿宋_GB2312" w:eastAsia="仿宋_GB2312" w:cs="仿宋_GB2312"/>
          <w:sz w:val="32"/>
          <w:szCs w:val="32"/>
        </w:rPr>
      </w:pPr>
    </w:p>
    <w:p>
      <w:pPr>
        <w:rPr>
          <w:rFonts w:ascii="仿宋_GB2312" w:eastAsia="仿宋_GB2312"/>
          <w:sz w:val="32"/>
          <w:szCs w:val="32"/>
        </w:rPr>
      </w:pPr>
      <w:bookmarkStart w:id="61" w:name="_Toc15396617"/>
      <w:r>
        <w:rPr>
          <w:rFonts w:hint="eastAsia" w:ascii="仿宋_GB2312" w:eastAsia="仿宋_GB2312"/>
          <w:sz w:val="32"/>
          <w:szCs w:val="32"/>
        </w:rPr>
        <w:t>附件2</w:t>
      </w:r>
      <w:bookmarkEnd w:id="61"/>
    </w:p>
    <w:p>
      <w:pPr>
        <w:jc w:val="center"/>
        <w:rPr>
          <w:rFonts w:ascii="黑体" w:eastAsia="黑体"/>
          <w:sz w:val="44"/>
          <w:szCs w:val="44"/>
        </w:rPr>
      </w:pPr>
      <w:r>
        <w:rPr>
          <w:rFonts w:hint="eastAsia" w:ascii="黑体" w:eastAsia="黑体"/>
          <w:sz w:val="44"/>
          <w:szCs w:val="44"/>
        </w:rPr>
        <w:t>2018年XXX项目支出绩效评价报告</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ind w:firstLine="640" w:firstLineChars="200"/>
        <w:rPr>
          <w:rFonts w:ascii="仿宋_GB2312" w:eastAsia="仿宋_GB2312"/>
          <w:sz w:val="32"/>
          <w:szCs w:val="32"/>
        </w:rPr>
      </w:pPr>
      <w:r>
        <w:rPr>
          <w:rFonts w:hint="eastAsia" w:ascii="仿宋_GB2312" w:eastAsia="仿宋_GB2312"/>
          <w:sz w:val="32"/>
          <w:szCs w:val="32"/>
        </w:rPr>
        <w:t>项目评价实施方案情况（包括选点、评价指标、评价方法、基础数据表等情况）</w:t>
      </w:r>
    </w:p>
    <w:p>
      <w:pPr>
        <w:ind w:firstLine="640" w:firstLineChars="200"/>
        <w:rPr>
          <w:rFonts w:ascii="黑体" w:eastAsia="黑体"/>
          <w:sz w:val="32"/>
          <w:szCs w:val="32"/>
        </w:rPr>
      </w:pPr>
      <w:r>
        <w:rPr>
          <w:rFonts w:hint="eastAsia" w:ascii="黑体" w:eastAsia="黑体"/>
          <w:sz w:val="32"/>
          <w:szCs w:val="32"/>
        </w:rPr>
        <w:t>二、评价结论及绩效分析</w:t>
      </w:r>
    </w:p>
    <w:p>
      <w:pPr>
        <w:ind w:firstLine="643" w:firstLineChars="200"/>
        <w:rPr>
          <w:rFonts w:ascii="仿宋_GB2312" w:eastAsia="仿宋_GB2312"/>
          <w:b/>
          <w:sz w:val="32"/>
          <w:szCs w:val="32"/>
        </w:rPr>
      </w:pPr>
      <w:r>
        <w:rPr>
          <w:rFonts w:hint="eastAsia" w:ascii="仿宋_GB2312" w:eastAsia="仿宋_GB2312"/>
          <w:b/>
          <w:sz w:val="32"/>
          <w:szCs w:val="32"/>
        </w:rPr>
        <w:t>（一）评价结论</w:t>
      </w:r>
    </w:p>
    <w:p>
      <w:pPr>
        <w:ind w:firstLine="640" w:firstLineChars="200"/>
        <w:rPr>
          <w:rFonts w:ascii="仿宋_GB2312" w:eastAsia="仿宋_GB2312"/>
          <w:sz w:val="32"/>
          <w:szCs w:val="32"/>
        </w:rPr>
      </w:pPr>
      <w:r>
        <w:rPr>
          <w:rFonts w:hint="eastAsia" w:ascii="仿宋_GB2312" w:eastAsia="仿宋_GB2312"/>
          <w:sz w:val="32"/>
          <w:szCs w:val="32"/>
        </w:rPr>
        <w:t>项目绩效评价总体结论（包括项目评价得分表）</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b/>
          <w:sz w:val="32"/>
          <w:szCs w:val="32"/>
        </w:rPr>
        <w:t>二）绩效分析</w:t>
      </w:r>
    </w:p>
    <w:p>
      <w:pPr>
        <w:ind w:firstLine="640" w:firstLineChars="200"/>
        <w:rPr>
          <w:rFonts w:ascii="仿宋_GB2312" w:eastAsia="仿宋_GB2312"/>
          <w:sz w:val="32"/>
          <w:szCs w:val="32"/>
        </w:rPr>
      </w:pPr>
      <w:r>
        <w:rPr>
          <w:rFonts w:hint="eastAsia" w:ascii="仿宋_GB2312" w:eastAsia="仿宋_GB2312"/>
          <w:sz w:val="32"/>
          <w:szCs w:val="32"/>
        </w:rPr>
        <w:t>1.项目决策</w:t>
      </w:r>
    </w:p>
    <w:p>
      <w:pPr>
        <w:ind w:firstLine="640" w:firstLineChars="200"/>
        <w:rPr>
          <w:rFonts w:ascii="仿宋_GB2312" w:eastAsia="仿宋_GB2312"/>
          <w:sz w:val="32"/>
          <w:szCs w:val="32"/>
        </w:rPr>
      </w:pPr>
      <w:r>
        <w:rPr>
          <w:rFonts w:hint="eastAsia" w:ascii="仿宋_GB2312" w:eastAsia="仿宋_GB2312"/>
          <w:sz w:val="32"/>
          <w:szCs w:val="32"/>
        </w:rPr>
        <w:t>必要性和可行性分析（包括政策依据和政策完善，政策和需求的吻合程度分析），绩效目标设置情况（包括绩效目标设置的明确性和合理性）</w:t>
      </w:r>
    </w:p>
    <w:p>
      <w:pPr>
        <w:ind w:firstLine="640" w:firstLineChars="200"/>
        <w:rPr>
          <w:rFonts w:ascii="仿宋_GB2312" w:eastAsia="仿宋_GB2312"/>
          <w:sz w:val="32"/>
          <w:szCs w:val="32"/>
        </w:rPr>
      </w:pPr>
      <w:r>
        <w:rPr>
          <w:rFonts w:hint="eastAsia" w:ascii="仿宋_GB2312" w:eastAsia="仿宋_GB2312"/>
          <w:sz w:val="32"/>
          <w:szCs w:val="32"/>
        </w:rPr>
        <w:t>2.项目管理</w:t>
      </w:r>
    </w:p>
    <w:p>
      <w:pPr>
        <w:ind w:firstLine="640" w:firstLineChars="200"/>
        <w:rPr>
          <w:rFonts w:ascii="仿宋_GB2312" w:eastAsia="仿宋_GB2312"/>
          <w:sz w:val="32"/>
          <w:szCs w:val="32"/>
        </w:rPr>
      </w:pPr>
      <w:r>
        <w:rPr>
          <w:rFonts w:hint="eastAsia" w:ascii="仿宋_GB2312" w:eastAsia="仿宋_GB2312"/>
          <w:sz w:val="32"/>
          <w:szCs w:val="32"/>
        </w:rPr>
        <w:t>资金分配情况（资金分配管理的科学合理性）资，金使用情况（项目、资金管理的科学规范性）</w:t>
      </w:r>
    </w:p>
    <w:p>
      <w:pPr>
        <w:ind w:firstLine="640" w:firstLineChars="200"/>
        <w:rPr>
          <w:rFonts w:ascii="仿宋_GB2312" w:eastAsia="仿宋_GB2312"/>
          <w:sz w:val="32"/>
          <w:szCs w:val="32"/>
        </w:rPr>
      </w:pPr>
      <w:r>
        <w:rPr>
          <w:rFonts w:hint="eastAsia" w:ascii="仿宋_GB2312" w:eastAsia="仿宋_GB2312"/>
          <w:sz w:val="32"/>
          <w:szCs w:val="32"/>
        </w:rPr>
        <w:t>3.项目绩效</w:t>
      </w:r>
    </w:p>
    <w:p>
      <w:pPr>
        <w:ind w:firstLine="640" w:firstLineChars="200"/>
        <w:rPr>
          <w:rFonts w:ascii="仿宋_GB2312" w:eastAsia="仿宋_GB2312"/>
          <w:sz w:val="32"/>
          <w:szCs w:val="32"/>
        </w:rPr>
      </w:pPr>
      <w:r>
        <w:rPr>
          <w:rFonts w:hint="eastAsia" w:ascii="仿宋_GB2312" w:eastAsia="仿宋_GB2312"/>
          <w:sz w:val="32"/>
          <w:szCs w:val="32"/>
        </w:rPr>
        <w:t>项目目标完成情况（数量、质量、时效、成本），项目效益情况（经济效益、项目社会效益、生态效益、可持续效益、公平性、资金使用效率、受益群体满意度等）。</w:t>
      </w:r>
    </w:p>
    <w:p>
      <w:pPr>
        <w:pStyle w:val="23"/>
        <w:numPr>
          <w:ilvl w:val="0"/>
          <w:numId w:val="5"/>
        </w:numPr>
        <w:ind w:firstLineChars="0"/>
        <w:rPr>
          <w:rFonts w:ascii="黑体" w:eastAsia="黑体"/>
          <w:sz w:val="32"/>
          <w:szCs w:val="32"/>
        </w:rPr>
      </w:pPr>
      <w:r>
        <w:rPr>
          <w:rFonts w:hint="eastAsia" w:ascii="黑体" w:eastAsia="黑体"/>
          <w:sz w:val="32"/>
          <w:szCs w:val="32"/>
        </w:rPr>
        <w:t>存在主要问题</w:t>
      </w:r>
    </w:p>
    <w:p>
      <w:pPr>
        <w:rPr>
          <w:rFonts w:ascii="仿宋_GB2312" w:eastAsia="仿宋_GB2312"/>
          <w:sz w:val="32"/>
          <w:szCs w:val="32"/>
        </w:rPr>
      </w:pPr>
    </w:p>
    <w:p>
      <w:pPr>
        <w:ind w:firstLine="640" w:firstLineChars="200"/>
        <w:rPr>
          <w:rFonts w:ascii="黑体" w:eastAsia="黑体"/>
          <w:sz w:val="32"/>
          <w:szCs w:val="32"/>
        </w:rPr>
      </w:pPr>
      <w:r>
        <w:rPr>
          <w:rFonts w:hint="eastAsia" w:ascii="黑体" w:eastAsia="黑体"/>
          <w:sz w:val="32"/>
          <w:szCs w:val="32"/>
        </w:rPr>
        <w:t>四、相关措施建议</w:t>
      </w:r>
    </w:p>
    <w:p>
      <w:pPr>
        <w:rPr>
          <w:rFonts w:ascii="仿宋_GB2312" w:eastAsia="仿宋_GB2312"/>
          <w:sz w:val="32"/>
          <w:szCs w:val="32"/>
        </w:rPr>
      </w:pPr>
      <w:bookmarkStart w:id="62" w:name="_Toc15396618"/>
    </w:p>
    <w:p>
      <w:pPr>
        <w:jc w:val="center"/>
        <w:rPr>
          <w:rFonts w:ascii="黑体" w:eastAsia="黑体"/>
          <w:sz w:val="32"/>
          <w:szCs w:val="32"/>
        </w:rPr>
      </w:pPr>
      <w:r>
        <w:rPr>
          <w:rFonts w:hint="eastAsia" w:ascii="黑体" w:eastAsia="黑体"/>
          <w:sz w:val="32"/>
          <w:szCs w:val="32"/>
        </w:rPr>
        <w:t>第五部分 附表</w:t>
      </w:r>
      <w:bookmarkEnd w:id="58"/>
      <w:bookmarkEnd w:id="62"/>
    </w:p>
    <w:p>
      <w:pPr>
        <w:rPr>
          <w:rFonts w:ascii="仿宋_GB2312" w:eastAsia="仿宋_GB2312"/>
          <w:sz w:val="32"/>
          <w:szCs w:val="32"/>
        </w:rPr>
      </w:pPr>
      <w:bookmarkStart w:id="63" w:name="_Toc15396619"/>
    </w:p>
    <w:p>
      <w:pPr>
        <w:rPr>
          <w:rFonts w:ascii="仿宋_GB2312" w:eastAsia="仿宋_GB2312"/>
          <w:sz w:val="32"/>
          <w:szCs w:val="32"/>
        </w:rPr>
      </w:pPr>
      <w:r>
        <w:rPr>
          <w:rFonts w:hint="eastAsia" w:ascii="仿宋_GB2312" w:eastAsia="仿宋_GB2312"/>
          <w:sz w:val="32"/>
          <w:szCs w:val="32"/>
        </w:rPr>
        <w:t>一、收入支出决算总表</w:t>
      </w:r>
      <w:bookmarkEnd w:id="63"/>
    </w:p>
    <w:p>
      <w:pPr>
        <w:rPr>
          <w:rFonts w:ascii="仿宋_GB2312" w:eastAsia="仿宋_GB2312"/>
          <w:sz w:val="32"/>
          <w:szCs w:val="32"/>
        </w:rPr>
      </w:pPr>
      <w:bookmarkStart w:id="64" w:name="_Toc15396620"/>
      <w:r>
        <w:rPr>
          <w:rFonts w:hint="eastAsia" w:ascii="仿宋_GB2312" w:eastAsia="仿宋_GB2312"/>
          <w:sz w:val="32"/>
          <w:szCs w:val="32"/>
        </w:rPr>
        <w:t>二、收入总表</w:t>
      </w:r>
      <w:bookmarkEnd w:id="64"/>
    </w:p>
    <w:p>
      <w:pPr>
        <w:rPr>
          <w:rFonts w:ascii="仿宋_GB2312" w:eastAsia="仿宋_GB2312"/>
          <w:sz w:val="32"/>
          <w:szCs w:val="32"/>
        </w:rPr>
      </w:pPr>
      <w:bookmarkStart w:id="65" w:name="_Toc15396621"/>
      <w:r>
        <w:rPr>
          <w:rFonts w:hint="eastAsia" w:ascii="仿宋_GB2312" w:eastAsia="仿宋_GB2312"/>
          <w:sz w:val="32"/>
          <w:szCs w:val="32"/>
        </w:rPr>
        <w:t>三、支出总表</w:t>
      </w:r>
      <w:bookmarkEnd w:id="65"/>
    </w:p>
    <w:p>
      <w:pPr>
        <w:rPr>
          <w:rFonts w:ascii="仿宋_GB2312" w:eastAsia="仿宋_GB2312"/>
          <w:sz w:val="32"/>
          <w:szCs w:val="32"/>
        </w:rPr>
      </w:pPr>
      <w:bookmarkStart w:id="66" w:name="_Toc15396622"/>
      <w:r>
        <w:rPr>
          <w:rFonts w:hint="eastAsia" w:ascii="仿宋_GB2312" w:eastAsia="仿宋_GB2312"/>
          <w:sz w:val="32"/>
          <w:szCs w:val="32"/>
        </w:rPr>
        <w:t>四、财政拨款收入支出决算总表</w:t>
      </w:r>
      <w:bookmarkEnd w:id="66"/>
    </w:p>
    <w:p>
      <w:pPr>
        <w:rPr>
          <w:rFonts w:ascii="仿宋_GB2312" w:eastAsia="仿宋_GB2312"/>
          <w:sz w:val="32"/>
          <w:szCs w:val="32"/>
        </w:rPr>
      </w:pPr>
      <w:bookmarkStart w:id="67" w:name="_Toc15396623"/>
      <w:r>
        <w:rPr>
          <w:rFonts w:hint="eastAsia" w:ascii="仿宋_GB2312" w:eastAsia="仿宋_GB2312"/>
          <w:sz w:val="32"/>
          <w:szCs w:val="32"/>
        </w:rPr>
        <w:t>五、财政拨款支出决算明细表（政府经济分类科目）</w:t>
      </w:r>
      <w:bookmarkEnd w:id="67"/>
    </w:p>
    <w:p>
      <w:pPr>
        <w:rPr>
          <w:rFonts w:ascii="仿宋_GB2312" w:eastAsia="仿宋_GB2312"/>
          <w:sz w:val="32"/>
          <w:szCs w:val="32"/>
        </w:rPr>
      </w:pPr>
      <w:bookmarkStart w:id="68" w:name="_Toc15396624"/>
      <w:r>
        <w:rPr>
          <w:rFonts w:hint="eastAsia" w:ascii="仿宋_GB2312" w:eastAsia="仿宋_GB2312"/>
          <w:sz w:val="32"/>
          <w:szCs w:val="32"/>
        </w:rPr>
        <w:t>六、一般公共预算财政拨款支出决算表</w:t>
      </w:r>
      <w:bookmarkEnd w:id="68"/>
    </w:p>
    <w:p>
      <w:pPr>
        <w:rPr>
          <w:rFonts w:ascii="仿宋_GB2312" w:eastAsia="仿宋_GB2312"/>
          <w:sz w:val="32"/>
          <w:szCs w:val="32"/>
        </w:rPr>
      </w:pPr>
      <w:bookmarkStart w:id="69" w:name="_Toc15396625"/>
      <w:r>
        <w:rPr>
          <w:rFonts w:hint="eastAsia" w:ascii="仿宋_GB2312" w:eastAsia="仿宋_GB2312"/>
          <w:sz w:val="32"/>
          <w:szCs w:val="32"/>
        </w:rPr>
        <w:t>七、一般公共预算财政拨款支出决算明细表</w:t>
      </w:r>
      <w:bookmarkEnd w:id="69"/>
    </w:p>
    <w:p>
      <w:pPr>
        <w:rPr>
          <w:rFonts w:ascii="仿宋_GB2312" w:eastAsia="仿宋_GB2312"/>
          <w:sz w:val="32"/>
          <w:szCs w:val="32"/>
        </w:rPr>
      </w:pPr>
      <w:bookmarkStart w:id="70" w:name="_Toc15396626"/>
      <w:r>
        <w:rPr>
          <w:rFonts w:hint="eastAsia" w:ascii="仿宋_GB2312" w:eastAsia="仿宋_GB2312"/>
          <w:sz w:val="32"/>
          <w:szCs w:val="32"/>
        </w:rPr>
        <w:t>八、一般公共预算财政拨款基本支出决算表</w:t>
      </w:r>
      <w:bookmarkEnd w:id="70"/>
    </w:p>
    <w:p>
      <w:pPr>
        <w:rPr>
          <w:rFonts w:ascii="仿宋_GB2312" w:eastAsia="仿宋_GB2312"/>
          <w:sz w:val="32"/>
          <w:szCs w:val="32"/>
        </w:rPr>
      </w:pPr>
      <w:bookmarkStart w:id="71" w:name="_Toc15396627"/>
      <w:r>
        <w:rPr>
          <w:rFonts w:hint="eastAsia" w:ascii="仿宋_GB2312" w:eastAsia="仿宋_GB2312"/>
          <w:sz w:val="32"/>
          <w:szCs w:val="32"/>
        </w:rPr>
        <w:t>九、一般公共预算财政拨款项目支出决算表</w:t>
      </w:r>
      <w:bookmarkEnd w:id="71"/>
    </w:p>
    <w:p>
      <w:pPr>
        <w:rPr>
          <w:rFonts w:ascii="仿宋_GB2312" w:eastAsia="仿宋_GB2312"/>
          <w:sz w:val="32"/>
          <w:szCs w:val="32"/>
        </w:rPr>
      </w:pPr>
      <w:bookmarkStart w:id="72" w:name="_Toc15396628"/>
      <w:r>
        <w:rPr>
          <w:rFonts w:hint="eastAsia" w:ascii="仿宋_GB2312" w:eastAsia="仿宋_GB2312"/>
          <w:sz w:val="32"/>
          <w:szCs w:val="32"/>
        </w:rPr>
        <w:t>十、一般公共预算财政拨款“三公”经费支出决算表</w:t>
      </w:r>
      <w:bookmarkEnd w:id="72"/>
    </w:p>
    <w:p>
      <w:pPr>
        <w:rPr>
          <w:rFonts w:ascii="仿宋_GB2312" w:eastAsia="仿宋_GB2312"/>
          <w:sz w:val="32"/>
          <w:szCs w:val="32"/>
        </w:rPr>
      </w:pPr>
      <w:bookmarkStart w:id="73" w:name="_Toc15396629"/>
      <w:r>
        <w:rPr>
          <w:rFonts w:hint="eastAsia" w:ascii="仿宋_GB2312" w:eastAsia="仿宋_GB2312"/>
          <w:sz w:val="32"/>
          <w:szCs w:val="32"/>
        </w:rPr>
        <w:t>十一、政府性基金预算财政拨款收入支出决算表</w:t>
      </w:r>
      <w:bookmarkEnd w:id="73"/>
    </w:p>
    <w:p>
      <w:pPr>
        <w:rPr>
          <w:rFonts w:ascii="仿宋_GB2312" w:eastAsia="仿宋_GB2312"/>
          <w:sz w:val="32"/>
          <w:szCs w:val="32"/>
        </w:rPr>
      </w:pPr>
      <w:bookmarkStart w:id="74" w:name="_Toc15396630"/>
      <w:r>
        <w:rPr>
          <w:rFonts w:hint="eastAsia" w:ascii="仿宋_GB2312" w:eastAsia="仿宋_GB2312"/>
          <w:sz w:val="32"/>
          <w:szCs w:val="32"/>
        </w:rPr>
        <w:t>十二、政府性基金预算财政拨款“三公”经费支出决算表</w:t>
      </w:r>
      <w:bookmarkEnd w:id="74"/>
    </w:p>
    <w:p>
      <w:pPr>
        <w:rPr>
          <w:rFonts w:ascii="仿宋_GB2312" w:eastAsia="仿宋_GB2312"/>
          <w:sz w:val="32"/>
          <w:szCs w:val="32"/>
        </w:rPr>
      </w:pPr>
      <w:bookmarkStart w:id="75" w:name="_Toc15396631"/>
      <w:r>
        <w:rPr>
          <w:rFonts w:hint="eastAsia" w:ascii="仿宋_GB2312" w:eastAsia="仿宋_GB2312"/>
          <w:sz w:val="32"/>
          <w:szCs w:val="32"/>
        </w:rPr>
        <w:t>十三、国有资本经营预算支出决算表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6DD54200"/>
    <w:multiLevelType w:val="multilevel"/>
    <w:tmpl w:val="6DD54200"/>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0MDQ0M2E3YjdjMWNmYzk0YmYxYmM0OTU5NjNjYmEifQ=="/>
  </w:docVars>
  <w:rsids>
    <w:rsidRoot w:val="00F1361C"/>
    <w:rsid w:val="000222C6"/>
    <w:rsid w:val="0002549F"/>
    <w:rsid w:val="00051EA9"/>
    <w:rsid w:val="00061679"/>
    <w:rsid w:val="0006487A"/>
    <w:rsid w:val="00065F8F"/>
    <w:rsid w:val="000768F2"/>
    <w:rsid w:val="00084078"/>
    <w:rsid w:val="00085163"/>
    <w:rsid w:val="0009184B"/>
    <w:rsid w:val="0009593C"/>
    <w:rsid w:val="000A3C06"/>
    <w:rsid w:val="000A645E"/>
    <w:rsid w:val="000B047F"/>
    <w:rsid w:val="000B1017"/>
    <w:rsid w:val="000B5923"/>
    <w:rsid w:val="000B5A48"/>
    <w:rsid w:val="000B6FF3"/>
    <w:rsid w:val="000C3467"/>
    <w:rsid w:val="000C3CA6"/>
    <w:rsid w:val="000D1267"/>
    <w:rsid w:val="000D1D50"/>
    <w:rsid w:val="000D5782"/>
    <w:rsid w:val="000E6613"/>
    <w:rsid w:val="000E7119"/>
    <w:rsid w:val="00103E6B"/>
    <w:rsid w:val="00114E9B"/>
    <w:rsid w:val="00133CAD"/>
    <w:rsid w:val="0014729F"/>
    <w:rsid w:val="001534FA"/>
    <w:rsid w:val="001555B3"/>
    <w:rsid w:val="00157BAB"/>
    <w:rsid w:val="00160159"/>
    <w:rsid w:val="00162BEC"/>
    <w:rsid w:val="001654D1"/>
    <w:rsid w:val="0018106D"/>
    <w:rsid w:val="001877A7"/>
    <w:rsid w:val="00191536"/>
    <w:rsid w:val="0019574D"/>
    <w:rsid w:val="00196687"/>
    <w:rsid w:val="001A2007"/>
    <w:rsid w:val="001C0962"/>
    <w:rsid w:val="001D7531"/>
    <w:rsid w:val="001E737D"/>
    <w:rsid w:val="001F0592"/>
    <w:rsid w:val="001F7506"/>
    <w:rsid w:val="002006CD"/>
    <w:rsid w:val="00202B36"/>
    <w:rsid w:val="00204B7A"/>
    <w:rsid w:val="0021101A"/>
    <w:rsid w:val="00220536"/>
    <w:rsid w:val="00221BDE"/>
    <w:rsid w:val="00230ABD"/>
    <w:rsid w:val="00234F15"/>
    <w:rsid w:val="00235629"/>
    <w:rsid w:val="00246FFF"/>
    <w:rsid w:val="0025703C"/>
    <w:rsid w:val="00260C38"/>
    <w:rsid w:val="002616C0"/>
    <w:rsid w:val="002662AA"/>
    <w:rsid w:val="00280496"/>
    <w:rsid w:val="00295495"/>
    <w:rsid w:val="002B2613"/>
    <w:rsid w:val="002B741B"/>
    <w:rsid w:val="002F1818"/>
    <w:rsid w:val="002F567B"/>
    <w:rsid w:val="00300CA2"/>
    <w:rsid w:val="003216A9"/>
    <w:rsid w:val="00346B91"/>
    <w:rsid w:val="00363430"/>
    <w:rsid w:val="0037013F"/>
    <w:rsid w:val="00380C92"/>
    <w:rsid w:val="00391F19"/>
    <w:rsid w:val="003A484F"/>
    <w:rsid w:val="003B0BE0"/>
    <w:rsid w:val="003B0C1B"/>
    <w:rsid w:val="003B688C"/>
    <w:rsid w:val="003C0291"/>
    <w:rsid w:val="003C39AE"/>
    <w:rsid w:val="003C7B60"/>
    <w:rsid w:val="003D1FB2"/>
    <w:rsid w:val="003D66DA"/>
    <w:rsid w:val="003E1310"/>
    <w:rsid w:val="003E6F55"/>
    <w:rsid w:val="003F78D1"/>
    <w:rsid w:val="00401A1C"/>
    <w:rsid w:val="00406254"/>
    <w:rsid w:val="004223DE"/>
    <w:rsid w:val="00425538"/>
    <w:rsid w:val="00434489"/>
    <w:rsid w:val="00436A28"/>
    <w:rsid w:val="00437085"/>
    <w:rsid w:val="00443880"/>
    <w:rsid w:val="004464F4"/>
    <w:rsid w:val="00466F12"/>
    <w:rsid w:val="00471401"/>
    <w:rsid w:val="00473F31"/>
    <w:rsid w:val="004743EA"/>
    <w:rsid w:val="00476FED"/>
    <w:rsid w:val="0048263A"/>
    <w:rsid w:val="00487E5D"/>
    <w:rsid w:val="00490B39"/>
    <w:rsid w:val="004A711F"/>
    <w:rsid w:val="004B199D"/>
    <w:rsid w:val="004B4690"/>
    <w:rsid w:val="004D3A38"/>
    <w:rsid w:val="004E0A2D"/>
    <w:rsid w:val="004E206B"/>
    <w:rsid w:val="004E6DF7"/>
    <w:rsid w:val="004F0FBD"/>
    <w:rsid w:val="00501FF8"/>
    <w:rsid w:val="00505A47"/>
    <w:rsid w:val="00512FDA"/>
    <w:rsid w:val="00520DA0"/>
    <w:rsid w:val="005664BB"/>
    <w:rsid w:val="00574800"/>
    <w:rsid w:val="0057481D"/>
    <w:rsid w:val="0058486E"/>
    <w:rsid w:val="00590B3D"/>
    <w:rsid w:val="005C6ABD"/>
    <w:rsid w:val="005D1C8B"/>
    <w:rsid w:val="005D5CED"/>
    <w:rsid w:val="005F01AF"/>
    <w:rsid w:val="005F1A4C"/>
    <w:rsid w:val="00605688"/>
    <w:rsid w:val="006070AF"/>
    <w:rsid w:val="00607E6C"/>
    <w:rsid w:val="006101B1"/>
    <w:rsid w:val="00614E44"/>
    <w:rsid w:val="00622830"/>
    <w:rsid w:val="00630AEF"/>
    <w:rsid w:val="006325F8"/>
    <w:rsid w:val="00634C9A"/>
    <w:rsid w:val="0063684D"/>
    <w:rsid w:val="006440E4"/>
    <w:rsid w:val="0066343B"/>
    <w:rsid w:val="00664777"/>
    <w:rsid w:val="006748A4"/>
    <w:rsid w:val="00683E73"/>
    <w:rsid w:val="006A0517"/>
    <w:rsid w:val="006A3141"/>
    <w:rsid w:val="006A450A"/>
    <w:rsid w:val="006A5E34"/>
    <w:rsid w:val="006B2422"/>
    <w:rsid w:val="006B2B9A"/>
    <w:rsid w:val="006C1937"/>
    <w:rsid w:val="006D21BB"/>
    <w:rsid w:val="006D6380"/>
    <w:rsid w:val="006E0BF3"/>
    <w:rsid w:val="006F020C"/>
    <w:rsid w:val="00703A84"/>
    <w:rsid w:val="007127B7"/>
    <w:rsid w:val="00720E8C"/>
    <w:rsid w:val="007416B6"/>
    <w:rsid w:val="00746772"/>
    <w:rsid w:val="00746F48"/>
    <w:rsid w:val="0075404D"/>
    <w:rsid w:val="0076182A"/>
    <w:rsid w:val="00761A79"/>
    <w:rsid w:val="00763029"/>
    <w:rsid w:val="00767B7E"/>
    <w:rsid w:val="007770C3"/>
    <w:rsid w:val="00781A87"/>
    <w:rsid w:val="00784D24"/>
    <w:rsid w:val="00785FBA"/>
    <w:rsid w:val="00786E4A"/>
    <w:rsid w:val="007875EB"/>
    <w:rsid w:val="0079426B"/>
    <w:rsid w:val="007A69F1"/>
    <w:rsid w:val="007B5CC9"/>
    <w:rsid w:val="007B656E"/>
    <w:rsid w:val="007C16AD"/>
    <w:rsid w:val="007C6089"/>
    <w:rsid w:val="007D312A"/>
    <w:rsid w:val="007D3F19"/>
    <w:rsid w:val="007E023F"/>
    <w:rsid w:val="007E23B0"/>
    <w:rsid w:val="007E76EB"/>
    <w:rsid w:val="007F1991"/>
    <w:rsid w:val="007F2C2F"/>
    <w:rsid w:val="007F55FC"/>
    <w:rsid w:val="007F5665"/>
    <w:rsid w:val="00800112"/>
    <w:rsid w:val="00824930"/>
    <w:rsid w:val="008253BB"/>
    <w:rsid w:val="0083706E"/>
    <w:rsid w:val="008423A5"/>
    <w:rsid w:val="008448B2"/>
    <w:rsid w:val="00850625"/>
    <w:rsid w:val="00852DDA"/>
    <w:rsid w:val="00853718"/>
    <w:rsid w:val="00855221"/>
    <w:rsid w:val="00860645"/>
    <w:rsid w:val="008704B9"/>
    <w:rsid w:val="00871F71"/>
    <w:rsid w:val="00885AF4"/>
    <w:rsid w:val="008939CD"/>
    <w:rsid w:val="008B768C"/>
    <w:rsid w:val="008C2752"/>
    <w:rsid w:val="008C4DB1"/>
    <w:rsid w:val="008C4EAF"/>
    <w:rsid w:val="008C5176"/>
    <w:rsid w:val="008C7FD0"/>
    <w:rsid w:val="008D7CBC"/>
    <w:rsid w:val="008E1DE7"/>
    <w:rsid w:val="008E5776"/>
    <w:rsid w:val="008E707C"/>
    <w:rsid w:val="00900B08"/>
    <w:rsid w:val="00900C8D"/>
    <w:rsid w:val="00902155"/>
    <w:rsid w:val="00902FA3"/>
    <w:rsid w:val="00923564"/>
    <w:rsid w:val="0092392E"/>
    <w:rsid w:val="00927886"/>
    <w:rsid w:val="009315F9"/>
    <w:rsid w:val="00933F16"/>
    <w:rsid w:val="00946945"/>
    <w:rsid w:val="00951248"/>
    <w:rsid w:val="0095152F"/>
    <w:rsid w:val="00951F47"/>
    <w:rsid w:val="00954C49"/>
    <w:rsid w:val="00956DD7"/>
    <w:rsid w:val="0097099F"/>
    <w:rsid w:val="00971997"/>
    <w:rsid w:val="00971FFC"/>
    <w:rsid w:val="009734FD"/>
    <w:rsid w:val="00976FB9"/>
    <w:rsid w:val="0098660A"/>
    <w:rsid w:val="009931C3"/>
    <w:rsid w:val="009A04CD"/>
    <w:rsid w:val="009B2C43"/>
    <w:rsid w:val="009B4EAE"/>
    <w:rsid w:val="009B7573"/>
    <w:rsid w:val="009C22F4"/>
    <w:rsid w:val="009C2E98"/>
    <w:rsid w:val="009D3447"/>
    <w:rsid w:val="009D4711"/>
    <w:rsid w:val="009E4BAB"/>
    <w:rsid w:val="009E6D2A"/>
    <w:rsid w:val="009F1185"/>
    <w:rsid w:val="009F18CD"/>
    <w:rsid w:val="009F2A13"/>
    <w:rsid w:val="009F584C"/>
    <w:rsid w:val="00A04EB0"/>
    <w:rsid w:val="00A13CC1"/>
    <w:rsid w:val="00A16847"/>
    <w:rsid w:val="00A2268C"/>
    <w:rsid w:val="00A237D8"/>
    <w:rsid w:val="00A268C4"/>
    <w:rsid w:val="00A307CD"/>
    <w:rsid w:val="00A40A00"/>
    <w:rsid w:val="00A4142F"/>
    <w:rsid w:val="00A42EE8"/>
    <w:rsid w:val="00A51032"/>
    <w:rsid w:val="00A563FD"/>
    <w:rsid w:val="00A56DF2"/>
    <w:rsid w:val="00A67AB5"/>
    <w:rsid w:val="00A73C43"/>
    <w:rsid w:val="00A91760"/>
    <w:rsid w:val="00A93B00"/>
    <w:rsid w:val="00A93C21"/>
    <w:rsid w:val="00AA0BE6"/>
    <w:rsid w:val="00AC1752"/>
    <w:rsid w:val="00AC3C6A"/>
    <w:rsid w:val="00AD5620"/>
    <w:rsid w:val="00AD62E3"/>
    <w:rsid w:val="00AD7C1B"/>
    <w:rsid w:val="00AE16BA"/>
    <w:rsid w:val="00AE1EBE"/>
    <w:rsid w:val="00B03C9D"/>
    <w:rsid w:val="00B060AE"/>
    <w:rsid w:val="00B075FA"/>
    <w:rsid w:val="00B10517"/>
    <w:rsid w:val="00B14E76"/>
    <w:rsid w:val="00B161B8"/>
    <w:rsid w:val="00B2048C"/>
    <w:rsid w:val="00B24086"/>
    <w:rsid w:val="00B310B9"/>
    <w:rsid w:val="00B35F3F"/>
    <w:rsid w:val="00B36CBB"/>
    <w:rsid w:val="00B425E0"/>
    <w:rsid w:val="00B440AA"/>
    <w:rsid w:val="00B44B70"/>
    <w:rsid w:val="00B45FF0"/>
    <w:rsid w:val="00B53C56"/>
    <w:rsid w:val="00B618B6"/>
    <w:rsid w:val="00B77EA6"/>
    <w:rsid w:val="00B81370"/>
    <w:rsid w:val="00B81598"/>
    <w:rsid w:val="00B8201C"/>
    <w:rsid w:val="00B841F1"/>
    <w:rsid w:val="00B944D6"/>
    <w:rsid w:val="00BB39B1"/>
    <w:rsid w:val="00BB4DF0"/>
    <w:rsid w:val="00BC289F"/>
    <w:rsid w:val="00BC5361"/>
    <w:rsid w:val="00BC5460"/>
    <w:rsid w:val="00BC6B50"/>
    <w:rsid w:val="00BD0E25"/>
    <w:rsid w:val="00BD4A97"/>
    <w:rsid w:val="00BD58CF"/>
    <w:rsid w:val="00BE33C3"/>
    <w:rsid w:val="00BF5BD6"/>
    <w:rsid w:val="00C03E31"/>
    <w:rsid w:val="00C33E72"/>
    <w:rsid w:val="00C354B2"/>
    <w:rsid w:val="00C35554"/>
    <w:rsid w:val="00C42709"/>
    <w:rsid w:val="00C5044D"/>
    <w:rsid w:val="00C533CC"/>
    <w:rsid w:val="00C5751C"/>
    <w:rsid w:val="00C61BFC"/>
    <w:rsid w:val="00C62B85"/>
    <w:rsid w:val="00C652C8"/>
    <w:rsid w:val="00C65438"/>
    <w:rsid w:val="00C65ED8"/>
    <w:rsid w:val="00C7274F"/>
    <w:rsid w:val="00C80476"/>
    <w:rsid w:val="00C849B8"/>
    <w:rsid w:val="00C91CBB"/>
    <w:rsid w:val="00C968DB"/>
    <w:rsid w:val="00CA5F33"/>
    <w:rsid w:val="00CC09B6"/>
    <w:rsid w:val="00CC1FB5"/>
    <w:rsid w:val="00CC666F"/>
    <w:rsid w:val="00CD1E3F"/>
    <w:rsid w:val="00CE44F6"/>
    <w:rsid w:val="00CE49DA"/>
    <w:rsid w:val="00CE5EA0"/>
    <w:rsid w:val="00CE7B61"/>
    <w:rsid w:val="00CF2A1E"/>
    <w:rsid w:val="00D00095"/>
    <w:rsid w:val="00D032BE"/>
    <w:rsid w:val="00D20620"/>
    <w:rsid w:val="00D26091"/>
    <w:rsid w:val="00D34E7C"/>
    <w:rsid w:val="00D35489"/>
    <w:rsid w:val="00D37EDF"/>
    <w:rsid w:val="00D47CDA"/>
    <w:rsid w:val="00D51276"/>
    <w:rsid w:val="00D54B1D"/>
    <w:rsid w:val="00D7035F"/>
    <w:rsid w:val="00D92277"/>
    <w:rsid w:val="00DA65AC"/>
    <w:rsid w:val="00DB1913"/>
    <w:rsid w:val="00DC410D"/>
    <w:rsid w:val="00DC68CA"/>
    <w:rsid w:val="00DC7CBA"/>
    <w:rsid w:val="00DD45C5"/>
    <w:rsid w:val="00DD61DC"/>
    <w:rsid w:val="00DD73B7"/>
    <w:rsid w:val="00DD75C4"/>
    <w:rsid w:val="00DF28BC"/>
    <w:rsid w:val="00DF34B9"/>
    <w:rsid w:val="00E01053"/>
    <w:rsid w:val="00E07ACF"/>
    <w:rsid w:val="00E331A1"/>
    <w:rsid w:val="00E33202"/>
    <w:rsid w:val="00E336A9"/>
    <w:rsid w:val="00E33D3E"/>
    <w:rsid w:val="00E50624"/>
    <w:rsid w:val="00E568DF"/>
    <w:rsid w:val="00E64269"/>
    <w:rsid w:val="00E750F6"/>
    <w:rsid w:val="00E82267"/>
    <w:rsid w:val="00EA00E7"/>
    <w:rsid w:val="00EA010F"/>
    <w:rsid w:val="00EB5AF3"/>
    <w:rsid w:val="00ED1B63"/>
    <w:rsid w:val="00ED3C1F"/>
    <w:rsid w:val="00ED4085"/>
    <w:rsid w:val="00ED420E"/>
    <w:rsid w:val="00ED6A82"/>
    <w:rsid w:val="00EE2F57"/>
    <w:rsid w:val="00EF2CA0"/>
    <w:rsid w:val="00EF4C34"/>
    <w:rsid w:val="00EF77C6"/>
    <w:rsid w:val="00F05438"/>
    <w:rsid w:val="00F1361C"/>
    <w:rsid w:val="00F160C7"/>
    <w:rsid w:val="00F320ED"/>
    <w:rsid w:val="00F36D8F"/>
    <w:rsid w:val="00F417B1"/>
    <w:rsid w:val="00F602DF"/>
    <w:rsid w:val="00F70486"/>
    <w:rsid w:val="00F72D3F"/>
    <w:rsid w:val="00F81FD9"/>
    <w:rsid w:val="00F841AA"/>
    <w:rsid w:val="00FA23E8"/>
    <w:rsid w:val="00FB25D2"/>
    <w:rsid w:val="00FD3CC1"/>
    <w:rsid w:val="00FF1E02"/>
    <w:rsid w:val="00FF30B4"/>
    <w:rsid w:val="0AFF2974"/>
    <w:rsid w:val="10C055FF"/>
    <w:rsid w:val="16BB723D"/>
    <w:rsid w:val="240371BF"/>
    <w:rsid w:val="29FD04D3"/>
    <w:rsid w:val="319F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uiPriority w:val="99"/>
    <w:rPr>
      <w:sz w:val="18"/>
      <w:szCs w:val="18"/>
    </w:rPr>
  </w:style>
  <w:style w:type="paragraph" w:styleId="8">
    <w:name w:val="footer"/>
    <w:basedOn w:val="1"/>
    <w:link w:val="19"/>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22"/>
    <w:rPr>
      <w:b/>
    </w:rPr>
  </w:style>
  <w:style w:type="character" w:styleId="15">
    <w:name w:val="Hyperlink"/>
    <w:basedOn w:val="13"/>
    <w:unhideWhenUsed/>
    <w:uiPriority w:val="99"/>
    <w:rPr>
      <w:color w:val="0000FF" w:themeColor="hyperlink"/>
      <w:u w:val="single"/>
    </w:rPr>
  </w:style>
  <w:style w:type="character" w:customStyle="1" w:styleId="16">
    <w:name w:val="Header Char"/>
    <w:basedOn w:val="13"/>
    <w:semiHidden/>
    <w:uiPriority w:val="99"/>
    <w:rPr>
      <w:rFonts w:ascii="Times New Roman" w:hAnsi="Times New Roman"/>
      <w:sz w:val="18"/>
      <w:szCs w:val="18"/>
    </w:rPr>
  </w:style>
  <w:style w:type="character" w:customStyle="1" w:styleId="17">
    <w:name w:val="页眉 Char"/>
    <w:link w:val="9"/>
    <w:semiHidden/>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Char"/>
    <w:link w:val="8"/>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Char"/>
    <w:link w:val="5"/>
    <w:locked/>
    <w:uiPriority w:val="99"/>
    <w:rPr>
      <w:rFonts w:ascii="仿宋_GB2312" w:hAnsi="Times New Roman" w:eastAsia="仿宋_GB2312"/>
      <w:sz w:val="24"/>
    </w:rPr>
  </w:style>
  <w:style w:type="paragraph" w:customStyle="1" w:styleId="22">
    <w:name w:val="Defaul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uiPriority w:val="9"/>
    <w:rPr>
      <w:rFonts w:ascii="Times New Roman" w:hAnsi="Times New Roman"/>
      <w:b/>
      <w:bCs/>
      <w:kern w:val="44"/>
      <w:sz w:val="44"/>
      <w:szCs w:val="44"/>
    </w:rPr>
  </w:style>
  <w:style w:type="character" w:customStyle="1" w:styleId="25">
    <w:name w:val="标题 2 Char"/>
    <w:basedOn w:val="13"/>
    <w:link w:val="3"/>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uiPriority w:val="99"/>
    <w:rPr>
      <w:rFonts w:ascii="Times New Roman" w:hAnsi="Times New Roman"/>
      <w:kern w:val="2"/>
      <w:sz w:val="18"/>
      <w:szCs w:val="18"/>
    </w:rPr>
  </w:style>
  <w:style w:type="character" w:customStyle="1" w:styleId="28">
    <w:name w:val="标题 3 Char"/>
    <w:basedOn w:val="13"/>
    <w:link w:val="4"/>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F89A-F10B-485E-8A5D-6ED4B387E889}">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10091</Words>
  <Characters>11066</Characters>
  <Lines>94</Lines>
  <Paragraphs>26</Paragraphs>
  <TotalTime>1077</TotalTime>
  <ScaleCrop>false</ScaleCrop>
  <LinksUpToDate>false</LinksUpToDate>
  <CharactersWithSpaces>11187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2019-10-23T07:37:00Z</cp:lastPrinted>
  <dcterms:modified xsi:type="dcterms:W3CDTF">2023-04-26T07:09:19Z</dcterms:modified>
  <dc:title>四川省***</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2F75A93A30C34916B5922774A919DFD8_12</vt:lpwstr>
  </property>
</Properties>
</file>