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425"/>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194"/>
      <w:bookmarkStart w:id="8" w:name="_Toc15377426"/>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德阳市广汉市发展和改革局部门决算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color w:val="000000" w:themeColor="text1"/>
          <w14:textFill>
            <w14:solidFill>
              <w14:schemeClr w14:val="tx1"/>
            </w14:solidFill>
          </w14:textFill>
        </w:rPr>
      </w:pPr>
      <w:r>
        <w:rPr>
          <w:rFonts w:hint="eastAsia"/>
        </w:rPr>
        <w:t>公开时间：</w:t>
      </w:r>
      <w:r>
        <w:rPr>
          <w:rFonts w:hint="eastAsia"/>
          <w:color w:val="000000" w:themeColor="text1"/>
          <w14:textFill>
            <w14:solidFill>
              <w14:schemeClr w14:val="tx1"/>
            </w14:solidFill>
          </w14:textFill>
        </w:rPr>
        <w:t>2020年11月3日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 （4-8页）</w:t>
      </w:r>
    </w:p>
    <w:p>
      <w:pPr>
        <w:pStyle w:val="11"/>
        <w:adjustRightInd w:val="0"/>
        <w:snapToGrid w:val="0"/>
        <w:spacing w:line="440" w:lineRule="exact"/>
        <w:jc w:val="left"/>
        <w:rPr>
          <w:rFonts w:ascii="仿宋" w:hAnsi="仿宋" w:eastAsia="仿宋"/>
          <w:sz w:val="24"/>
        </w:rPr>
      </w:pPr>
      <w:r>
        <w:rPr>
          <w:rFonts w:hint="eastAsia"/>
          <w:sz w:val="24"/>
        </w:rPr>
        <w:t>二、机构设置 （8-9页）</w:t>
      </w:r>
    </w:p>
    <w:p>
      <w:pPr>
        <w:pStyle w:val="10"/>
        <w:adjustRightInd w:val="0"/>
        <w:snapToGrid w:val="0"/>
        <w:spacing w:before="0" w:line="440" w:lineRule="exact"/>
        <w:jc w:val="left"/>
        <w:rPr>
          <w:sz w:val="24"/>
          <w:szCs w:val="24"/>
        </w:rPr>
      </w:pPr>
      <w:r>
        <w:rPr>
          <w:rFonts w:hint="eastAsia"/>
          <w:sz w:val="24"/>
        </w:rPr>
        <w:t>第二部分 2019年度部门决算情况说明</w:t>
      </w:r>
    </w:p>
    <w:p>
      <w:pPr>
        <w:pStyle w:val="11"/>
        <w:adjustRightInd w:val="0"/>
        <w:snapToGrid w:val="0"/>
        <w:spacing w:line="440" w:lineRule="exact"/>
        <w:jc w:val="left"/>
        <w:rPr>
          <w:rFonts w:ascii="仿宋" w:hAnsi="仿宋" w:eastAsia="仿宋"/>
          <w:sz w:val="24"/>
        </w:rPr>
      </w:pPr>
      <w:r>
        <w:rPr>
          <w:rFonts w:hint="eastAsia"/>
          <w:sz w:val="24"/>
        </w:rPr>
        <w:t>一、收入支出决算总体情况说明  （9-9页）</w:t>
      </w:r>
    </w:p>
    <w:p>
      <w:pPr>
        <w:pStyle w:val="11"/>
        <w:adjustRightInd w:val="0"/>
        <w:snapToGrid w:val="0"/>
        <w:spacing w:line="440" w:lineRule="exact"/>
        <w:jc w:val="left"/>
        <w:rPr>
          <w:rFonts w:ascii="仿宋" w:hAnsi="仿宋" w:eastAsia="仿宋"/>
          <w:sz w:val="24"/>
        </w:rPr>
      </w:pPr>
      <w:r>
        <w:rPr>
          <w:rFonts w:hint="eastAsia"/>
          <w:sz w:val="24"/>
        </w:rPr>
        <w:t>二、收入决算情况说明  （9-10页）</w:t>
      </w:r>
    </w:p>
    <w:p>
      <w:pPr>
        <w:pStyle w:val="11"/>
        <w:adjustRightInd w:val="0"/>
        <w:snapToGrid w:val="0"/>
        <w:spacing w:line="440" w:lineRule="exact"/>
        <w:jc w:val="left"/>
        <w:rPr>
          <w:rFonts w:ascii="仿宋" w:hAnsi="仿宋" w:eastAsia="仿宋"/>
          <w:sz w:val="24"/>
        </w:rPr>
      </w:pPr>
      <w:r>
        <w:rPr>
          <w:rFonts w:hint="eastAsia"/>
          <w:sz w:val="24"/>
        </w:rPr>
        <w:t>三、支出决算情况说明  （10-11页）</w:t>
      </w:r>
    </w:p>
    <w:p>
      <w:pPr>
        <w:pStyle w:val="11"/>
        <w:adjustRightInd w:val="0"/>
        <w:snapToGrid w:val="0"/>
        <w:spacing w:line="440" w:lineRule="exact"/>
        <w:jc w:val="left"/>
        <w:rPr>
          <w:rFonts w:ascii="仿宋" w:hAnsi="仿宋" w:eastAsia="仿宋"/>
          <w:sz w:val="24"/>
        </w:rPr>
      </w:pPr>
      <w:r>
        <w:rPr>
          <w:rFonts w:hint="eastAsia"/>
          <w:sz w:val="24"/>
        </w:rPr>
        <w:t>四、财政拨款收入支出决算总体情况说明  （11-12页）</w:t>
      </w:r>
    </w:p>
    <w:p>
      <w:pPr>
        <w:pStyle w:val="11"/>
        <w:adjustRightInd w:val="0"/>
        <w:snapToGrid w:val="0"/>
        <w:spacing w:line="440" w:lineRule="exact"/>
        <w:jc w:val="left"/>
        <w:rPr>
          <w:rFonts w:ascii="仿宋" w:hAnsi="仿宋" w:eastAsia="仿宋"/>
          <w:sz w:val="24"/>
        </w:rPr>
      </w:pPr>
      <w:r>
        <w:rPr>
          <w:rFonts w:hint="eastAsia"/>
          <w:sz w:val="24"/>
        </w:rPr>
        <w:t>五、一般公共预算财政拨款支出决算情况说明  （12-17页）</w:t>
      </w:r>
    </w:p>
    <w:p>
      <w:pPr>
        <w:pStyle w:val="11"/>
        <w:adjustRightInd w:val="0"/>
        <w:snapToGrid w:val="0"/>
        <w:spacing w:line="440" w:lineRule="exact"/>
        <w:jc w:val="left"/>
        <w:rPr>
          <w:rFonts w:ascii="仿宋" w:hAnsi="仿宋" w:eastAsia="仿宋"/>
          <w:sz w:val="24"/>
        </w:rPr>
      </w:pPr>
      <w:r>
        <w:rPr>
          <w:rFonts w:hint="eastAsia"/>
          <w:sz w:val="24"/>
        </w:rPr>
        <w:t>六、一般公共预算财政拨款基本支出决算情况说明  （17-18页）</w:t>
      </w:r>
    </w:p>
    <w:p>
      <w:pPr>
        <w:pStyle w:val="11"/>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  （18-20页）</w:t>
      </w:r>
    </w:p>
    <w:p>
      <w:pPr>
        <w:pStyle w:val="11"/>
        <w:adjustRightInd w:val="0"/>
        <w:snapToGrid w:val="0"/>
        <w:spacing w:line="440" w:lineRule="exact"/>
        <w:jc w:val="left"/>
        <w:rPr>
          <w:rFonts w:ascii="仿宋" w:hAnsi="仿宋" w:eastAsia="仿宋"/>
          <w:sz w:val="24"/>
        </w:rPr>
      </w:pPr>
      <w:r>
        <w:rPr>
          <w:rFonts w:hint="eastAsia"/>
          <w:sz w:val="24"/>
        </w:rPr>
        <w:t>八、政府性基金预算支出决算情况说明  （20-20页）</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  （20-20页）</w:t>
      </w:r>
    </w:p>
    <w:p>
      <w:pPr>
        <w:pStyle w:val="11"/>
        <w:adjustRightInd w:val="0"/>
        <w:snapToGrid w:val="0"/>
        <w:spacing w:line="440" w:lineRule="exact"/>
        <w:jc w:val="left"/>
        <w:rPr>
          <w:rFonts w:ascii="仿宋" w:hAnsi="仿宋" w:eastAsia="仿宋"/>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 （20-24页）</w:t>
      </w:r>
    </w:p>
    <w:p>
      <w:pPr>
        <w:pStyle w:val="11"/>
        <w:adjustRightInd w:val="0"/>
        <w:snapToGrid w:val="0"/>
        <w:spacing w:line="440" w:lineRule="exact"/>
        <w:jc w:val="left"/>
        <w:rPr>
          <w:rFonts w:ascii="仿宋" w:hAnsi="仿宋" w:eastAsia="仿宋"/>
          <w:sz w:val="24"/>
        </w:rPr>
      </w:pPr>
      <w:r>
        <w:rPr>
          <w:rFonts w:hint="eastAsia"/>
          <w:sz w:val="24"/>
        </w:rPr>
        <w:t>第三部分</w:t>
      </w:r>
      <w:r>
        <w:rPr>
          <w:sz w:val="24"/>
        </w:rPr>
        <w:t xml:space="preserve"> </w:t>
      </w:r>
      <w:r>
        <w:rPr>
          <w:rFonts w:hint="eastAsia"/>
          <w:sz w:val="24"/>
        </w:rPr>
        <w:t>名词解释  （25-29页）</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sz w:val="24"/>
        </w:rPr>
      </w:pPr>
      <w:r>
        <w:rPr>
          <w:rFonts w:hint="eastAsia" w:ascii="宋体" w:hAnsi="宋体"/>
          <w:sz w:val="24"/>
        </w:rPr>
        <w:t>附件</w:t>
      </w:r>
      <w:r>
        <w:rPr>
          <w:rFonts w:ascii="宋体" w:hAnsi="宋体"/>
          <w:sz w:val="24"/>
        </w:rPr>
        <w:t>1</w:t>
      </w:r>
      <w:r>
        <w:rPr>
          <w:rFonts w:hint="eastAsia" w:ascii="宋体" w:hAnsi="宋体"/>
          <w:sz w:val="24"/>
        </w:rPr>
        <w:t xml:space="preserve">  广汉市发展和改革局</w:t>
      </w:r>
      <w:r>
        <w:rPr>
          <w:rFonts w:ascii="宋体" w:hAnsi="宋体"/>
          <w:kern w:val="0"/>
          <w:sz w:val="24"/>
        </w:rPr>
        <w:t>2019年部门</w:t>
      </w:r>
      <w:r>
        <w:rPr>
          <w:rFonts w:hint="eastAsia" w:ascii="宋体" w:hAnsi="宋体"/>
          <w:kern w:val="0"/>
          <w:sz w:val="24"/>
          <w:lang w:val="zh-CN"/>
        </w:rPr>
        <w:t>整体支出绩效评价报告</w:t>
      </w:r>
      <w:r>
        <w:rPr>
          <w:rFonts w:hint="eastAsia"/>
          <w:sz w:val="24"/>
        </w:rPr>
        <w:t>（30-34页）</w:t>
      </w:r>
    </w:p>
    <w:p>
      <w:pPr>
        <w:pStyle w:val="11"/>
        <w:adjustRightInd w:val="0"/>
        <w:snapToGrid w:val="0"/>
        <w:spacing w:line="440" w:lineRule="exact"/>
        <w:jc w:val="left"/>
        <w:rPr>
          <w:rFonts w:ascii="仿宋" w:hAnsi="仿宋" w:eastAsia="仿宋"/>
          <w:sz w:val="24"/>
        </w:rPr>
      </w:pPr>
      <w:r>
        <w:rPr>
          <w:rFonts w:hint="eastAsia"/>
          <w:sz w:val="24"/>
        </w:rPr>
        <w:t>附件</w:t>
      </w:r>
      <w:r>
        <w:rPr>
          <w:sz w:val="24"/>
        </w:rPr>
        <w:t>2</w:t>
      </w:r>
      <w:r>
        <w:rPr>
          <w:rFonts w:hint="eastAsia"/>
          <w:color w:val="FF0000"/>
          <w:sz w:val="24"/>
        </w:rPr>
        <w:t xml:space="preserve">  </w:t>
      </w:r>
      <w:r>
        <w:rPr>
          <w:rFonts w:hint="eastAsia" w:ascii="宋体" w:hAnsi="宋体" w:cs="仿宋_GB2312"/>
          <w:sz w:val="24"/>
        </w:rPr>
        <w:t>市级储备粮利费补贴项目2019年绩效评价报告</w:t>
      </w:r>
      <w:r>
        <w:rPr>
          <w:rFonts w:hint="eastAsia"/>
          <w:sz w:val="24"/>
        </w:rPr>
        <w:t>（35-41页）</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 （见2019年决算公开报表）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 xml:space="preserve">收入支出决算总表 </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 xml:space="preserve">表  </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 xml:space="preserve">表 </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321" w:firstLineChars="100"/>
        <w:outlineLvl w:val="2"/>
        <w:rPr>
          <w:rFonts w:ascii="仿宋" w:hAnsi="仿宋" w:eastAsia="仿宋"/>
          <w:b/>
          <w:bCs/>
          <w:color w:val="000000"/>
          <w:sz w:val="32"/>
          <w:szCs w:val="32"/>
        </w:rPr>
      </w:pPr>
      <w:bookmarkStart w:id="16" w:name="_Toc15378445"/>
      <w:bookmarkStart w:id="17" w:name="_Toc15377198"/>
      <w:r>
        <w:rPr>
          <w:rFonts w:hint="eastAsia" w:ascii="仿宋" w:hAnsi="仿宋" w:eastAsia="仿宋"/>
          <w:b/>
          <w:bCs/>
          <w:color w:val="000000"/>
          <w:sz w:val="32"/>
          <w:szCs w:val="32"/>
        </w:rPr>
        <w:t>（一）主要职能。（职能参照省政府批准的三定方案）</w:t>
      </w:r>
      <w:bookmarkEnd w:id="16"/>
      <w:bookmarkEnd w:id="17"/>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1、贯彻实施国家有关国民经济和社会发展、经济体制改革的改革、价格、能源、粮食和物资储备的方针、政策和法律、法规；</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2、负责拟订并组织实施全市国民经济和社会发展战略、中长期规划和年度计划；</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3、负责监测宏观经济和社会发展态势，承担预测预警和信息引导的责任；</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4、汇总分析全市财政和利用外资等方面情况，指导全市国民经济计划和发展规划的实施；</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5、承担指导推进和综合统筹全市经济体制改革职责，组织拟订综合性经济体制改革方案；</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6、负责全市投资宏观管理和统筹推进重大项目建设；</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7、推进经济结构战略性调整；</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8、促进县域经济发展，拟订县域经济中长期长期规划、年度目标任务等有关政策并负责组织实施及督促检查；</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9、负责重要商品总量平衡和宏观调控；</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10、负责全市社会发展与国民经济发展的政策衔接，推进社会事建设；</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11、推进可持续发展，协调全市发展循环经济、能源资源节约和综合利用规划及政策措施，综合协调环保产业和清洁生产促进有关工作；</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12、指导并综合管理全市招标投标工作；</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13、编制和执行价格调整改革规划，提出年度价格总水平调控目标及价格调控措施并组织实施；</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14、负责社会信用体系建设的统筹规划。监督考核和指导协调；</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15、研究提出全市能源发展战略和政策措施，拟订全市能源发展规划，提出相关体制改革建议；</w:t>
      </w:r>
      <w:r>
        <w:rPr>
          <w:rFonts w:ascii="宋体" w:hAnsi="宋体" w:cs="仿宋_GB2312"/>
          <w:kern w:val="0"/>
          <w:sz w:val="30"/>
          <w:szCs w:val="30"/>
        </w:rPr>
        <w:t xml:space="preserve"> </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16、全市粮食流通和物资储备管理的规范性文件并监督执行；</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17、根据市应急等部门提出的市级救灾物资储备计划的建议，组织实施救灾物资收储、轮换和日常管理，落实有关动用计划和指令；</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18、负责全社会粮食流通监管、粮食安全；</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19、组织拟订区域经济发展规划，参与编制区域合作空间发展规划、区域发展专项规划；</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20、负责职责范围内的安全生产和职业健康、生态环境保护和审批服务全民化等工作。</w:t>
      </w:r>
    </w:p>
    <w:p>
      <w:pPr>
        <w:pStyle w:val="5"/>
        <w:adjustRightInd w:val="0"/>
        <w:snapToGrid w:val="0"/>
        <w:spacing w:before="93" w:line="360" w:lineRule="auto"/>
        <w:ind w:firstLine="675" w:firstLineChars="210"/>
        <w:outlineLvl w:val="2"/>
        <w:rPr>
          <w:rFonts w:ascii="仿宋" w:hAnsi="仿宋" w:eastAsia="仿宋"/>
          <w:b/>
          <w:bCs/>
          <w:color w:val="000000"/>
          <w:sz w:val="32"/>
          <w:szCs w:val="32"/>
        </w:rPr>
      </w:pPr>
      <w:bookmarkStart w:id="18" w:name="_Toc15377199"/>
      <w:bookmarkStart w:id="19" w:name="_Toc15378446"/>
      <w:r>
        <w:rPr>
          <w:rFonts w:hint="eastAsia" w:ascii="仿宋" w:hAnsi="仿宋" w:eastAsia="仿宋"/>
          <w:b/>
          <w:bCs/>
          <w:color w:val="000000"/>
          <w:sz w:val="32"/>
          <w:szCs w:val="32"/>
        </w:rPr>
        <w:t>（二）</w:t>
      </w:r>
      <w:r>
        <w:rPr>
          <w:rFonts w:ascii="仿宋" w:hAnsi="仿宋" w:eastAsia="仿宋"/>
          <w:b/>
          <w:bCs/>
          <w:color w:val="000000"/>
          <w:sz w:val="32"/>
          <w:szCs w:val="32"/>
        </w:rPr>
        <w:t>201</w:t>
      </w:r>
      <w:r>
        <w:rPr>
          <w:rFonts w:hint="eastAsia" w:ascii="仿宋" w:hAnsi="仿宋" w:eastAsia="仿宋"/>
          <w:b/>
          <w:bCs/>
          <w:color w:val="000000"/>
          <w:sz w:val="32"/>
          <w:szCs w:val="32"/>
        </w:rPr>
        <w:t>9年重点工作完成情况。</w:t>
      </w:r>
      <w:bookmarkEnd w:id="18"/>
      <w:bookmarkEnd w:id="19"/>
    </w:p>
    <w:p>
      <w:pPr>
        <w:spacing w:line="360" w:lineRule="auto"/>
        <w:ind w:firstLine="600" w:firstLineChars="200"/>
        <w:rPr>
          <w:rFonts w:ascii="宋体"/>
          <w:sz w:val="30"/>
          <w:szCs w:val="30"/>
        </w:rPr>
      </w:pPr>
      <w:r>
        <w:rPr>
          <w:rFonts w:ascii="宋体" w:hAnsi="宋体"/>
          <w:sz w:val="30"/>
          <w:szCs w:val="30"/>
        </w:rPr>
        <w:t>1.</w:t>
      </w:r>
      <w:r>
        <w:rPr>
          <w:rFonts w:hint="eastAsia" w:ascii="宋体" w:hAnsi="宋体"/>
          <w:sz w:val="30"/>
          <w:szCs w:val="30"/>
        </w:rPr>
        <w:t>切实做好经济运行监测。强化经济走势研判预警，做好对全市各行业、重点企业和中小微企业的监测分析，积极调研县域经济发展情况，及时向市委、市政府报告经济运行状况，完成《广汉市</w:t>
      </w:r>
      <w:r>
        <w:rPr>
          <w:rFonts w:ascii="宋体" w:hAnsi="宋体"/>
          <w:sz w:val="30"/>
          <w:szCs w:val="30"/>
        </w:rPr>
        <w:t>2019</w:t>
      </w:r>
      <w:r>
        <w:rPr>
          <w:rFonts w:hint="eastAsia" w:ascii="宋体" w:hAnsi="宋体"/>
          <w:sz w:val="30"/>
          <w:szCs w:val="30"/>
        </w:rPr>
        <w:t>年上半年国民经济和社会发展计划执行情况报告》。</w:t>
      </w:r>
    </w:p>
    <w:p>
      <w:pPr>
        <w:spacing w:line="360" w:lineRule="auto"/>
        <w:ind w:firstLine="640"/>
        <w:rPr>
          <w:rFonts w:ascii="宋体"/>
          <w:sz w:val="30"/>
          <w:szCs w:val="30"/>
        </w:rPr>
      </w:pPr>
      <w:r>
        <w:rPr>
          <w:rFonts w:ascii="宋体" w:hAnsi="宋体"/>
          <w:sz w:val="30"/>
          <w:szCs w:val="30"/>
        </w:rPr>
        <w:t>2.</w:t>
      </w:r>
      <w:r>
        <w:rPr>
          <w:rFonts w:hint="eastAsia" w:ascii="宋体" w:hAnsi="宋体"/>
          <w:sz w:val="30"/>
          <w:szCs w:val="30"/>
        </w:rPr>
        <w:t>大力优化企业服务。一是认真组织项目参加省、市项目集中开工活动，截</w:t>
      </w:r>
      <w:r>
        <w:rPr>
          <w:rFonts w:hint="eastAsia" w:ascii="宋体" w:hAnsi="宋体"/>
          <w:sz w:val="30"/>
          <w:szCs w:val="30"/>
          <w:lang w:val="en-US" w:eastAsia="zh-CN"/>
        </w:rPr>
        <w:t>至</w:t>
      </w:r>
      <w:r>
        <w:rPr>
          <w:rFonts w:hint="eastAsia" w:ascii="宋体" w:hAnsi="宋体"/>
          <w:sz w:val="30"/>
          <w:szCs w:val="30"/>
        </w:rPr>
        <w:t>目前，共选取</w:t>
      </w:r>
      <w:r>
        <w:rPr>
          <w:rFonts w:ascii="宋体" w:hAnsi="宋体"/>
          <w:sz w:val="30"/>
          <w:szCs w:val="30"/>
        </w:rPr>
        <w:t>18</w:t>
      </w:r>
      <w:r>
        <w:rPr>
          <w:rFonts w:hint="eastAsia" w:ascii="宋体" w:hAnsi="宋体"/>
          <w:sz w:val="30"/>
          <w:szCs w:val="30"/>
        </w:rPr>
        <w:t>个重大项目参加了一季度、三季度重大项目集中开工活动，总投资</w:t>
      </w:r>
      <w:r>
        <w:rPr>
          <w:rFonts w:ascii="宋体" w:hAnsi="宋体"/>
          <w:sz w:val="30"/>
          <w:szCs w:val="30"/>
        </w:rPr>
        <w:t>80</w:t>
      </w:r>
      <w:r>
        <w:rPr>
          <w:rFonts w:hint="eastAsia" w:ascii="宋体" w:hAnsi="宋体"/>
          <w:sz w:val="30"/>
          <w:szCs w:val="30"/>
        </w:rPr>
        <w:t>亿元。积极申报四季度集中开工重大项目，确定拟参加集中开工重大项目</w:t>
      </w:r>
      <w:r>
        <w:rPr>
          <w:rFonts w:ascii="宋体" w:hAnsi="宋体"/>
          <w:sz w:val="30"/>
          <w:szCs w:val="30"/>
        </w:rPr>
        <w:t>10</w:t>
      </w:r>
      <w:r>
        <w:rPr>
          <w:rFonts w:hint="eastAsia" w:ascii="宋体" w:hAnsi="宋体"/>
          <w:sz w:val="30"/>
          <w:szCs w:val="30"/>
        </w:rPr>
        <w:t>个，总投资</w:t>
      </w:r>
      <w:r>
        <w:rPr>
          <w:rFonts w:ascii="宋体" w:hAnsi="宋体"/>
          <w:sz w:val="30"/>
          <w:szCs w:val="30"/>
        </w:rPr>
        <w:t>35.4</w:t>
      </w:r>
      <w:r>
        <w:rPr>
          <w:rFonts w:hint="eastAsia" w:ascii="宋体" w:hAnsi="宋体"/>
          <w:sz w:val="30"/>
          <w:szCs w:val="30"/>
        </w:rPr>
        <w:t>亿元。二是积极配合德阳做好“银企对接会”筹备工作，目前已组织申报“银企对接会”融资项目</w:t>
      </w:r>
      <w:r>
        <w:rPr>
          <w:rFonts w:ascii="宋体" w:hAnsi="宋体"/>
          <w:sz w:val="30"/>
          <w:szCs w:val="30"/>
        </w:rPr>
        <w:t>3</w:t>
      </w:r>
      <w:r>
        <w:rPr>
          <w:rFonts w:hint="eastAsia" w:ascii="宋体" w:hAnsi="宋体"/>
          <w:sz w:val="30"/>
          <w:szCs w:val="30"/>
        </w:rPr>
        <w:t>个，拟融资金额</w:t>
      </w:r>
      <w:r>
        <w:rPr>
          <w:rFonts w:ascii="宋体" w:hAnsi="宋体"/>
          <w:sz w:val="30"/>
          <w:szCs w:val="30"/>
        </w:rPr>
        <w:t>5.5</w:t>
      </w:r>
      <w:r>
        <w:rPr>
          <w:rFonts w:hint="eastAsia" w:ascii="宋体" w:hAnsi="宋体"/>
          <w:sz w:val="30"/>
          <w:szCs w:val="30"/>
        </w:rPr>
        <w:t>亿元。三是全力做好“新三板”挂牌，</w:t>
      </w:r>
      <w:r>
        <w:rPr>
          <w:rFonts w:ascii="宋体" w:hAnsi="宋体"/>
          <w:sz w:val="30"/>
          <w:szCs w:val="30"/>
        </w:rPr>
        <w:t>2019</w:t>
      </w:r>
      <w:r>
        <w:rPr>
          <w:rFonts w:hint="eastAsia" w:ascii="宋体" w:hAnsi="宋体"/>
          <w:sz w:val="30"/>
          <w:szCs w:val="30"/>
        </w:rPr>
        <w:t>年新申报</w:t>
      </w:r>
      <w:r>
        <w:rPr>
          <w:rFonts w:ascii="宋体" w:hAnsi="宋体"/>
          <w:sz w:val="30"/>
          <w:szCs w:val="30"/>
        </w:rPr>
        <w:t>1</w:t>
      </w:r>
      <w:r>
        <w:rPr>
          <w:rFonts w:hint="eastAsia" w:ascii="宋体" w:hAnsi="宋体"/>
          <w:sz w:val="30"/>
          <w:szCs w:val="30"/>
        </w:rPr>
        <w:t>家企业进入四川省“新三板”挂牌重点后备企业储备库，目前全市已有</w:t>
      </w:r>
      <w:r>
        <w:rPr>
          <w:rFonts w:ascii="宋体" w:hAnsi="宋体"/>
          <w:sz w:val="30"/>
          <w:szCs w:val="30"/>
        </w:rPr>
        <w:t>7</w:t>
      </w:r>
      <w:r>
        <w:rPr>
          <w:rFonts w:hint="eastAsia" w:ascii="宋体" w:hAnsi="宋体"/>
          <w:sz w:val="30"/>
          <w:szCs w:val="30"/>
        </w:rPr>
        <w:t>家企业通过“新三板”挂牌。</w:t>
      </w:r>
    </w:p>
    <w:p>
      <w:pPr>
        <w:spacing w:line="360" w:lineRule="auto"/>
        <w:ind w:firstLine="640"/>
        <w:rPr>
          <w:rFonts w:ascii="宋体"/>
          <w:bCs/>
          <w:sz w:val="30"/>
          <w:szCs w:val="30"/>
        </w:rPr>
      </w:pPr>
      <w:r>
        <w:rPr>
          <w:rFonts w:ascii="宋体" w:hAnsi="宋体"/>
          <w:sz w:val="30"/>
          <w:szCs w:val="30"/>
        </w:rPr>
        <w:t>3.</w:t>
      </w:r>
      <w:r>
        <w:rPr>
          <w:rFonts w:hint="eastAsia" w:ascii="宋体" w:hAnsi="宋体"/>
          <w:sz w:val="30"/>
          <w:szCs w:val="30"/>
        </w:rPr>
        <w:t>不断充实项目储备。</w:t>
      </w:r>
      <w:r>
        <w:rPr>
          <w:rFonts w:hint="eastAsia" w:ascii="宋体" w:hAnsi="宋体"/>
          <w:bCs/>
          <w:sz w:val="30"/>
          <w:szCs w:val="30"/>
        </w:rPr>
        <w:t>积极更新、完善国家重大项目库和四川省投资项目管理服务平台，编制滚动计划，目前共储备三年滚动项目</w:t>
      </w:r>
      <w:r>
        <w:rPr>
          <w:rFonts w:ascii="宋体" w:hAnsi="宋体"/>
          <w:sz w:val="30"/>
          <w:szCs w:val="30"/>
        </w:rPr>
        <w:t>285</w:t>
      </w:r>
      <w:r>
        <w:rPr>
          <w:rFonts w:hint="eastAsia" w:ascii="宋体" w:hAnsi="宋体"/>
          <w:bCs/>
          <w:sz w:val="30"/>
          <w:szCs w:val="30"/>
        </w:rPr>
        <w:t>个，总投资</w:t>
      </w:r>
      <w:r>
        <w:rPr>
          <w:rFonts w:ascii="宋体" w:hAnsi="宋体"/>
          <w:sz w:val="30"/>
          <w:szCs w:val="30"/>
        </w:rPr>
        <w:t>1169</w:t>
      </w:r>
      <w:r>
        <w:rPr>
          <w:rFonts w:hint="eastAsia" w:ascii="宋体" w:hAnsi="宋体"/>
          <w:bCs/>
          <w:sz w:val="30"/>
          <w:szCs w:val="30"/>
        </w:rPr>
        <w:t>亿元。</w:t>
      </w:r>
    </w:p>
    <w:p>
      <w:pPr>
        <w:spacing w:line="360" w:lineRule="auto"/>
        <w:ind w:firstLine="640"/>
        <w:rPr>
          <w:rFonts w:ascii="宋体"/>
          <w:bCs/>
          <w:sz w:val="30"/>
          <w:szCs w:val="30"/>
        </w:rPr>
      </w:pPr>
      <w:r>
        <w:rPr>
          <w:rFonts w:ascii="宋体" w:hAnsi="宋体"/>
          <w:bCs/>
          <w:sz w:val="30"/>
          <w:szCs w:val="30"/>
        </w:rPr>
        <w:t>4.</w:t>
      </w:r>
      <w:r>
        <w:rPr>
          <w:rFonts w:hint="eastAsia" w:ascii="宋体" w:hAnsi="宋体"/>
          <w:bCs/>
          <w:sz w:val="30"/>
          <w:szCs w:val="30"/>
        </w:rPr>
        <w:t>全面落实综合改革工作。按月报送“七大行动”协调发展行动项目推进情况。完成全面深化改革经济体制改革特色亮点工作汇报材料编制，制定</w:t>
      </w:r>
      <w:r>
        <w:rPr>
          <w:rFonts w:ascii="宋体" w:hAnsi="宋体"/>
          <w:sz w:val="30"/>
          <w:szCs w:val="30"/>
        </w:rPr>
        <w:t>2019</w:t>
      </w:r>
      <w:r>
        <w:rPr>
          <w:rFonts w:hint="eastAsia" w:ascii="宋体" w:hAnsi="宋体"/>
          <w:bCs/>
          <w:sz w:val="30"/>
          <w:szCs w:val="30"/>
        </w:rPr>
        <w:t>年经济体制改革工作要点，梳理《贯彻落实党的十九大报告重要改革举措实施规划（</w:t>
      </w:r>
      <w:r>
        <w:rPr>
          <w:rFonts w:ascii="宋体" w:hAnsi="宋体"/>
          <w:sz w:val="30"/>
          <w:szCs w:val="30"/>
        </w:rPr>
        <w:t>2018—2022</w:t>
      </w:r>
      <w:r>
        <w:rPr>
          <w:rFonts w:hint="eastAsia" w:ascii="宋体" w:hAnsi="宋体"/>
          <w:sz w:val="30"/>
          <w:szCs w:val="30"/>
        </w:rPr>
        <w:t>年</w:t>
      </w:r>
      <w:r>
        <w:rPr>
          <w:rFonts w:hint="eastAsia" w:ascii="宋体" w:hAnsi="宋体"/>
          <w:bCs/>
          <w:sz w:val="30"/>
          <w:szCs w:val="30"/>
        </w:rPr>
        <w:t>）实施规划》。申报纳入成渝城市群、成都经济圈、国省“十四五”规划等重大规划的项目事项。启动本级“十四五”规划编制工作并完成《基本思路》框架结构初稿，完成规划编制重大课题及专项规划责任分工征求意见工作。</w:t>
      </w:r>
    </w:p>
    <w:p>
      <w:pPr>
        <w:spacing w:line="360" w:lineRule="auto"/>
        <w:ind w:firstLine="640"/>
        <w:rPr>
          <w:rFonts w:ascii="宋体"/>
          <w:bCs/>
          <w:sz w:val="30"/>
          <w:szCs w:val="30"/>
        </w:rPr>
      </w:pPr>
      <w:r>
        <w:rPr>
          <w:rFonts w:ascii="宋体" w:hAnsi="宋体"/>
          <w:bCs/>
          <w:sz w:val="30"/>
          <w:szCs w:val="30"/>
        </w:rPr>
        <w:t>5.</w:t>
      </w:r>
      <w:r>
        <w:rPr>
          <w:rFonts w:hint="eastAsia" w:ascii="宋体" w:hAnsi="宋体"/>
          <w:bCs/>
          <w:sz w:val="30"/>
          <w:szCs w:val="30"/>
        </w:rPr>
        <w:t>持续提升民营经济发展质量。配合完成“春风行动”，做好“放管服”相关工作。成功接入信用中国（四川德阳）门户网站，联合人民银行广汉支行、相关部门及“微新广汉”等线上线下资源开展“诚信建设万里行”活动并宣传推介“信用德阳”网站，及时做好行政许可与行政处罚信息“双公示”。</w:t>
      </w:r>
      <w:r>
        <w:rPr>
          <w:rFonts w:ascii="宋体" w:hAnsi="宋体"/>
          <w:bCs/>
          <w:sz w:val="30"/>
          <w:szCs w:val="30"/>
        </w:rPr>
        <w:t xml:space="preserve"> </w:t>
      </w:r>
      <w:r>
        <w:rPr>
          <w:rFonts w:hint="eastAsia" w:ascii="宋体" w:hAnsi="宋体"/>
          <w:bCs/>
          <w:sz w:val="30"/>
          <w:szCs w:val="30"/>
        </w:rPr>
        <w:t>牵头做好诚信体系建设相关文件精神的学习宣传，配合推进诚信街区建设工作，营造法治化营商环境促进民营经济发展。</w:t>
      </w:r>
    </w:p>
    <w:p>
      <w:pPr>
        <w:spacing w:line="360" w:lineRule="auto"/>
        <w:ind w:firstLine="640"/>
        <w:rPr>
          <w:rFonts w:ascii="宋体"/>
          <w:sz w:val="30"/>
          <w:szCs w:val="30"/>
        </w:rPr>
      </w:pPr>
      <w:r>
        <w:rPr>
          <w:rFonts w:ascii="宋体" w:hAnsi="宋体"/>
          <w:bCs/>
          <w:sz w:val="30"/>
          <w:szCs w:val="30"/>
        </w:rPr>
        <w:t>6.</w:t>
      </w:r>
      <w:r>
        <w:rPr>
          <w:rFonts w:hint="eastAsia" w:ascii="宋体" w:hAnsi="宋体"/>
          <w:bCs/>
          <w:sz w:val="30"/>
          <w:szCs w:val="30"/>
        </w:rPr>
        <w:t>规范实施招标投标活动。截至目前，全市实施公开招标和比选的项目</w:t>
      </w:r>
      <w:r>
        <w:rPr>
          <w:rFonts w:ascii="宋体" w:hAnsi="宋体"/>
          <w:sz w:val="30"/>
          <w:szCs w:val="30"/>
        </w:rPr>
        <w:t>33</w:t>
      </w:r>
      <w:r>
        <w:rPr>
          <w:rFonts w:hint="eastAsia" w:ascii="宋体" w:hAnsi="宋体"/>
          <w:sz w:val="30"/>
          <w:szCs w:val="30"/>
        </w:rPr>
        <w:t>个，涉及总投资</w:t>
      </w:r>
      <w:r>
        <w:rPr>
          <w:rFonts w:ascii="宋体" w:hAnsi="宋体"/>
          <w:sz w:val="30"/>
          <w:szCs w:val="30"/>
        </w:rPr>
        <w:t>27.4</w:t>
      </w:r>
      <w:r>
        <w:rPr>
          <w:rFonts w:hint="eastAsia" w:ascii="宋体" w:hAnsi="宋体"/>
          <w:sz w:val="30"/>
          <w:szCs w:val="30"/>
        </w:rPr>
        <w:t>亿元，招标控制价（概算价）</w:t>
      </w:r>
      <w:r>
        <w:rPr>
          <w:rFonts w:ascii="宋体" w:hAnsi="宋体"/>
          <w:sz w:val="30"/>
          <w:szCs w:val="30"/>
        </w:rPr>
        <w:t>26.5</w:t>
      </w:r>
      <w:r>
        <w:rPr>
          <w:rFonts w:hint="eastAsia" w:ascii="宋体" w:hAnsi="宋体"/>
          <w:sz w:val="30"/>
          <w:szCs w:val="30"/>
        </w:rPr>
        <w:t>亿元，中标（中选）价</w:t>
      </w:r>
      <w:r>
        <w:rPr>
          <w:rFonts w:ascii="宋体" w:hAnsi="宋体"/>
          <w:sz w:val="30"/>
          <w:szCs w:val="30"/>
        </w:rPr>
        <w:t>21.36</w:t>
      </w:r>
      <w:r>
        <w:rPr>
          <w:rFonts w:hint="eastAsia" w:ascii="宋体" w:hAnsi="宋体"/>
          <w:sz w:val="30"/>
          <w:szCs w:val="30"/>
        </w:rPr>
        <w:t>亿元，节约建设资金</w:t>
      </w:r>
      <w:r>
        <w:rPr>
          <w:rFonts w:ascii="宋体" w:hAnsi="宋体"/>
          <w:sz w:val="30"/>
          <w:szCs w:val="30"/>
        </w:rPr>
        <w:t>5.14</w:t>
      </w:r>
      <w:r>
        <w:rPr>
          <w:rFonts w:hint="eastAsia" w:ascii="宋体" w:hAnsi="宋体"/>
          <w:sz w:val="30"/>
          <w:szCs w:val="30"/>
        </w:rPr>
        <w:t>亿元，节资率为</w:t>
      </w:r>
      <w:r>
        <w:rPr>
          <w:rFonts w:ascii="宋体" w:hAnsi="宋体"/>
          <w:sz w:val="30"/>
          <w:szCs w:val="30"/>
        </w:rPr>
        <w:t>19.4</w:t>
      </w:r>
      <w:r>
        <w:rPr>
          <w:rFonts w:hint="eastAsia" w:ascii="宋体" w:hAnsi="宋体"/>
          <w:sz w:val="30"/>
          <w:szCs w:val="30"/>
        </w:rPr>
        <w:t>％。</w:t>
      </w:r>
    </w:p>
    <w:p>
      <w:pPr>
        <w:spacing w:line="360" w:lineRule="auto"/>
        <w:ind w:firstLine="640"/>
        <w:rPr>
          <w:rFonts w:ascii="宋体"/>
          <w:bCs/>
          <w:sz w:val="30"/>
          <w:szCs w:val="30"/>
        </w:rPr>
      </w:pPr>
      <w:r>
        <w:rPr>
          <w:rFonts w:ascii="宋体" w:hAnsi="宋体"/>
          <w:bCs/>
          <w:sz w:val="30"/>
          <w:szCs w:val="30"/>
        </w:rPr>
        <w:t>7.</w:t>
      </w:r>
      <w:r>
        <w:rPr>
          <w:rFonts w:hint="eastAsia" w:ascii="宋体" w:hAnsi="宋体"/>
          <w:bCs/>
          <w:sz w:val="30"/>
          <w:szCs w:val="30"/>
        </w:rPr>
        <w:t>有力推动产业发展。</w:t>
      </w:r>
      <w:r>
        <w:rPr>
          <w:rFonts w:hint="eastAsia" w:ascii="宋体" w:hAnsi="宋体" w:cs="仿宋_GB2312"/>
          <w:sz w:val="30"/>
          <w:szCs w:val="30"/>
        </w:rPr>
        <w:t>配合德阳市发改委先后开展了“十四五”铁路物流运输、“十四五”能源规划、“十四五”服务业发展和“十四五”产业发展等专题调研。</w:t>
      </w:r>
      <w:r>
        <w:rPr>
          <w:rFonts w:hint="eastAsia" w:ascii="宋体" w:hAnsi="宋体"/>
          <w:sz w:val="30"/>
          <w:szCs w:val="30"/>
        </w:rPr>
        <w:t>积极推进重点流域水环境综合治理专项投资计划申报，完成了广宇化工等</w:t>
      </w:r>
      <w:r>
        <w:rPr>
          <w:rFonts w:ascii="宋体" w:hAnsi="宋体"/>
          <w:sz w:val="30"/>
          <w:szCs w:val="30"/>
        </w:rPr>
        <w:t>10</w:t>
      </w:r>
      <w:r>
        <w:rPr>
          <w:rFonts w:hint="eastAsia" w:ascii="宋体" w:hAnsi="宋体"/>
          <w:sz w:val="30"/>
          <w:szCs w:val="30"/>
        </w:rPr>
        <w:t>户“万家”重点用能单位</w:t>
      </w:r>
      <w:r>
        <w:rPr>
          <w:rFonts w:ascii="宋体" w:hAnsi="宋体"/>
          <w:sz w:val="30"/>
          <w:szCs w:val="30"/>
        </w:rPr>
        <w:t>2018</w:t>
      </w:r>
      <w:r>
        <w:rPr>
          <w:rFonts w:hint="eastAsia" w:ascii="宋体" w:hAnsi="宋体"/>
          <w:sz w:val="30"/>
          <w:szCs w:val="30"/>
        </w:rPr>
        <w:t>年度能耗“双控”目标考核，</w:t>
      </w:r>
      <w:r>
        <w:rPr>
          <w:rFonts w:hint="eastAsia" w:ascii="宋体" w:hAnsi="宋体" w:cs="宋体"/>
          <w:kern w:val="0"/>
          <w:sz w:val="30"/>
          <w:szCs w:val="30"/>
        </w:rPr>
        <w:t>顺利推进和平玻璃和富华纸业开展电能替代。</w:t>
      </w:r>
    </w:p>
    <w:p>
      <w:pPr>
        <w:spacing w:line="360" w:lineRule="auto"/>
        <w:ind w:firstLine="640"/>
        <w:rPr>
          <w:rFonts w:ascii="宋体"/>
          <w:sz w:val="30"/>
          <w:szCs w:val="30"/>
        </w:rPr>
      </w:pPr>
      <w:r>
        <w:rPr>
          <w:rFonts w:ascii="宋体" w:hAnsi="宋体"/>
          <w:bCs/>
          <w:sz w:val="30"/>
          <w:szCs w:val="30"/>
        </w:rPr>
        <w:t>8.</w:t>
      </w:r>
      <w:r>
        <w:rPr>
          <w:rFonts w:hint="eastAsia" w:ascii="宋体" w:hAnsi="宋体"/>
          <w:bCs/>
          <w:sz w:val="30"/>
          <w:szCs w:val="30"/>
        </w:rPr>
        <w:t>持续做好价格管理。</w:t>
      </w:r>
      <w:r>
        <w:rPr>
          <w:rFonts w:hint="eastAsia" w:ascii="宋体" w:hAnsi="宋体" w:cs="仿宋_GB2312"/>
          <w:sz w:val="30"/>
          <w:szCs w:val="30"/>
        </w:rPr>
        <w:t>认真落实中央、省、市关于油、电、气、水等资源性产品价格改革政策，稳步推进资源性产品价格改革，积极疏导价格矛盾。实施农业水价综合改革。启动制定天然气非居配气价格和调整自来水价格的前期工作。密切做好价格监测，</w:t>
      </w:r>
      <w:r>
        <w:rPr>
          <w:rFonts w:hint="eastAsia" w:ascii="宋体" w:hAnsi="宋体"/>
          <w:sz w:val="30"/>
          <w:szCs w:val="30"/>
        </w:rPr>
        <w:t>办理价格认定</w:t>
      </w:r>
      <w:r>
        <w:rPr>
          <w:rFonts w:ascii="宋体" w:hAnsi="宋体"/>
          <w:sz w:val="30"/>
          <w:szCs w:val="30"/>
        </w:rPr>
        <w:t>78</w:t>
      </w:r>
      <w:r>
        <w:rPr>
          <w:rFonts w:hint="eastAsia" w:ascii="宋体" w:hAnsi="宋体"/>
          <w:sz w:val="30"/>
          <w:szCs w:val="30"/>
        </w:rPr>
        <w:t>宗，受理完成率</w:t>
      </w:r>
      <w:r>
        <w:rPr>
          <w:rFonts w:ascii="宋体" w:hAnsi="宋体"/>
          <w:sz w:val="30"/>
          <w:szCs w:val="30"/>
        </w:rPr>
        <w:t>100%</w:t>
      </w:r>
      <w:r>
        <w:rPr>
          <w:rFonts w:hint="eastAsia" w:ascii="宋体" w:hAnsi="宋体"/>
          <w:sz w:val="30"/>
          <w:szCs w:val="30"/>
        </w:rPr>
        <w:t>，涉案标的金额</w:t>
      </w:r>
      <w:r>
        <w:rPr>
          <w:rFonts w:ascii="宋体" w:hAnsi="宋体"/>
          <w:sz w:val="30"/>
          <w:szCs w:val="30"/>
        </w:rPr>
        <w:t>43.26</w:t>
      </w:r>
      <w:r>
        <w:rPr>
          <w:rFonts w:hint="eastAsia" w:ascii="宋体" w:hAnsi="宋体"/>
          <w:sz w:val="30"/>
          <w:szCs w:val="30"/>
        </w:rPr>
        <w:t>万元。开展违规收取水电气户头费、广播电视报停费专项清理，全市无一例乱收费现象。落实一般工商业电价降价</w:t>
      </w:r>
      <w:r>
        <w:rPr>
          <w:rFonts w:ascii="宋体" w:hAnsi="宋体"/>
          <w:sz w:val="30"/>
          <w:szCs w:val="30"/>
        </w:rPr>
        <w:t>10%</w:t>
      </w:r>
      <w:r>
        <w:rPr>
          <w:rFonts w:hint="eastAsia" w:ascii="宋体" w:hAnsi="宋体"/>
          <w:sz w:val="30"/>
          <w:szCs w:val="30"/>
        </w:rPr>
        <w:t>的政策，目前全市已减收</w:t>
      </w:r>
      <w:r>
        <w:rPr>
          <w:rFonts w:ascii="宋体" w:hAnsi="宋体"/>
          <w:sz w:val="30"/>
          <w:szCs w:val="30"/>
        </w:rPr>
        <w:t>1595</w:t>
      </w:r>
      <w:r>
        <w:rPr>
          <w:rFonts w:hint="eastAsia" w:ascii="宋体" w:hAnsi="宋体"/>
          <w:sz w:val="30"/>
          <w:szCs w:val="30"/>
        </w:rPr>
        <w:t>万元电费，有力减轻了企业和商户负担。</w:t>
      </w:r>
    </w:p>
    <w:p>
      <w:pPr>
        <w:spacing w:line="360" w:lineRule="auto"/>
        <w:ind w:firstLine="640"/>
        <w:rPr>
          <w:rFonts w:ascii="宋体"/>
          <w:sz w:val="30"/>
          <w:szCs w:val="30"/>
        </w:rPr>
      </w:pPr>
      <w:r>
        <w:rPr>
          <w:rFonts w:ascii="宋体" w:hAnsi="宋体"/>
          <w:sz w:val="30"/>
          <w:szCs w:val="30"/>
        </w:rPr>
        <w:t>9.</w:t>
      </w:r>
      <w:r>
        <w:rPr>
          <w:rFonts w:hint="eastAsia" w:ascii="宋体" w:hAnsi="宋体"/>
          <w:sz w:val="30"/>
          <w:szCs w:val="30"/>
        </w:rPr>
        <w:t>落实粮食安全责任。做好粮食购销储备工作，加强粮食仓储管理。做好</w:t>
      </w:r>
      <w:r>
        <w:rPr>
          <w:rFonts w:ascii="宋体" w:hAnsi="宋体"/>
          <w:sz w:val="30"/>
          <w:szCs w:val="30"/>
        </w:rPr>
        <w:t>2019</w:t>
      </w:r>
      <w:r>
        <w:rPr>
          <w:rFonts w:hint="eastAsia" w:ascii="宋体" w:hAnsi="宋体"/>
          <w:sz w:val="30"/>
          <w:szCs w:val="30"/>
        </w:rPr>
        <w:t>年小春、大春收购工作，切实执行最低保护价收购、超标稻谷收购等政策，保护种粮农户利益，截</w:t>
      </w:r>
      <w:r>
        <w:rPr>
          <w:rFonts w:hint="eastAsia" w:ascii="宋体" w:hAnsi="宋体"/>
          <w:sz w:val="30"/>
          <w:szCs w:val="30"/>
          <w:lang w:val="en-US" w:eastAsia="zh-CN"/>
        </w:rPr>
        <w:t>至</w:t>
      </w:r>
      <w:r>
        <w:rPr>
          <w:rFonts w:hint="eastAsia" w:ascii="宋体" w:hAnsi="宋体"/>
          <w:sz w:val="30"/>
          <w:szCs w:val="30"/>
        </w:rPr>
        <w:t>目前，全市共收购小麦</w:t>
      </w:r>
      <w:r>
        <w:rPr>
          <w:rFonts w:ascii="宋体" w:hAnsi="宋体"/>
          <w:sz w:val="30"/>
          <w:szCs w:val="30"/>
        </w:rPr>
        <w:t>54573</w:t>
      </w:r>
      <w:r>
        <w:rPr>
          <w:rFonts w:hint="eastAsia" w:ascii="宋体" w:hAnsi="宋体"/>
          <w:sz w:val="30"/>
          <w:szCs w:val="30"/>
        </w:rPr>
        <w:t>吨，稻谷</w:t>
      </w:r>
      <w:r>
        <w:rPr>
          <w:rFonts w:ascii="宋体" w:hAnsi="宋体"/>
          <w:sz w:val="30"/>
          <w:szCs w:val="30"/>
        </w:rPr>
        <w:t>94448</w:t>
      </w:r>
      <w:r>
        <w:rPr>
          <w:rFonts w:hint="eastAsia" w:ascii="宋体" w:hAnsi="宋体"/>
          <w:sz w:val="30"/>
          <w:szCs w:val="30"/>
        </w:rPr>
        <w:t>吨；强化对全市</w:t>
      </w:r>
      <w:r>
        <w:rPr>
          <w:rFonts w:ascii="宋体" w:hAnsi="宋体"/>
          <w:sz w:val="30"/>
          <w:szCs w:val="30"/>
        </w:rPr>
        <w:t>4.1</w:t>
      </w:r>
      <w:r>
        <w:rPr>
          <w:rFonts w:hint="eastAsia" w:ascii="宋体" w:hAnsi="宋体"/>
          <w:sz w:val="30"/>
          <w:szCs w:val="30"/>
        </w:rPr>
        <w:t>万吨各级储备粮油和</w:t>
      </w:r>
      <w:r>
        <w:rPr>
          <w:rFonts w:ascii="宋体" w:hAnsi="宋体"/>
          <w:sz w:val="30"/>
          <w:szCs w:val="30"/>
        </w:rPr>
        <w:t>3.3</w:t>
      </w:r>
      <w:r>
        <w:rPr>
          <w:rFonts w:hint="eastAsia" w:ascii="宋体" w:hAnsi="宋体"/>
          <w:sz w:val="30"/>
          <w:szCs w:val="30"/>
        </w:rPr>
        <w:t>万吨最低收购价稻谷（临储）的管理，做好各级储备粮油轮换工作，保证储备粮数量真实、质量完好，目前已轮出省储小麦</w:t>
      </w:r>
      <w:r>
        <w:rPr>
          <w:rFonts w:ascii="宋体" w:hAnsi="宋体"/>
          <w:sz w:val="30"/>
          <w:szCs w:val="30"/>
        </w:rPr>
        <w:t>2987</w:t>
      </w:r>
      <w:r>
        <w:rPr>
          <w:rFonts w:hint="eastAsia" w:ascii="宋体" w:hAnsi="宋体"/>
          <w:sz w:val="30"/>
          <w:szCs w:val="30"/>
        </w:rPr>
        <w:t>吨、稻谷</w:t>
      </w:r>
      <w:r>
        <w:rPr>
          <w:rFonts w:ascii="宋体" w:hAnsi="宋体"/>
          <w:sz w:val="30"/>
          <w:szCs w:val="30"/>
        </w:rPr>
        <w:t>1606</w:t>
      </w:r>
      <w:r>
        <w:rPr>
          <w:rFonts w:hint="eastAsia" w:ascii="宋体" w:hAnsi="宋体"/>
          <w:sz w:val="30"/>
          <w:szCs w:val="30"/>
        </w:rPr>
        <w:t>吨，县储小麦</w:t>
      </w:r>
      <w:r>
        <w:rPr>
          <w:rFonts w:ascii="宋体" w:hAnsi="宋体"/>
          <w:sz w:val="30"/>
          <w:szCs w:val="30"/>
        </w:rPr>
        <w:t>2000</w:t>
      </w:r>
      <w:r>
        <w:rPr>
          <w:rFonts w:hint="eastAsia" w:ascii="宋体" w:hAnsi="宋体"/>
          <w:sz w:val="30"/>
          <w:szCs w:val="30"/>
        </w:rPr>
        <w:t>吨、稻谷</w:t>
      </w:r>
      <w:r>
        <w:rPr>
          <w:rFonts w:ascii="宋体" w:hAnsi="宋体"/>
          <w:sz w:val="30"/>
          <w:szCs w:val="30"/>
        </w:rPr>
        <w:t>1000</w:t>
      </w:r>
      <w:r>
        <w:rPr>
          <w:rFonts w:hint="eastAsia" w:ascii="宋体" w:hAnsi="宋体"/>
          <w:sz w:val="30"/>
          <w:szCs w:val="30"/>
        </w:rPr>
        <w:t>吨，轮入省储小麦</w:t>
      </w:r>
      <w:r>
        <w:rPr>
          <w:rFonts w:ascii="宋体" w:hAnsi="宋体"/>
          <w:sz w:val="30"/>
          <w:szCs w:val="30"/>
        </w:rPr>
        <w:t>6000</w:t>
      </w:r>
      <w:r>
        <w:rPr>
          <w:rFonts w:hint="eastAsia" w:ascii="宋体" w:hAnsi="宋体"/>
          <w:sz w:val="30"/>
          <w:szCs w:val="30"/>
        </w:rPr>
        <w:t>吨，县储小麦</w:t>
      </w:r>
      <w:r>
        <w:rPr>
          <w:rFonts w:ascii="宋体" w:hAnsi="宋体"/>
          <w:sz w:val="30"/>
          <w:szCs w:val="30"/>
        </w:rPr>
        <w:t>1000</w:t>
      </w:r>
      <w:r>
        <w:rPr>
          <w:rFonts w:hint="eastAsia" w:ascii="宋体" w:hAnsi="宋体"/>
          <w:sz w:val="30"/>
          <w:szCs w:val="30"/>
        </w:rPr>
        <w:t>吨，保障国家和地方宏观调控粮源；强化粮食行政执法，维护粮食流通秩序，开展政策性粮食收购检查、政策性粮食销售出库检查、市场化收购检查等</w:t>
      </w:r>
      <w:r>
        <w:rPr>
          <w:rFonts w:ascii="宋体" w:hAnsi="宋体"/>
          <w:sz w:val="30"/>
          <w:szCs w:val="30"/>
        </w:rPr>
        <w:t>50</w:t>
      </w:r>
      <w:r>
        <w:rPr>
          <w:rFonts w:hint="eastAsia" w:ascii="宋体" w:hAnsi="宋体"/>
          <w:sz w:val="30"/>
          <w:szCs w:val="30"/>
        </w:rPr>
        <w:t>余次，全市粮食供应充足，价格总体平稳。</w:t>
      </w:r>
    </w:p>
    <w:p>
      <w:pPr>
        <w:spacing w:line="360" w:lineRule="auto"/>
        <w:ind w:firstLine="640"/>
        <w:rPr>
          <w:rFonts w:ascii="宋体"/>
          <w:sz w:val="30"/>
          <w:szCs w:val="30"/>
        </w:rPr>
      </w:pPr>
      <w:r>
        <w:rPr>
          <w:rFonts w:ascii="宋体" w:hAnsi="宋体"/>
          <w:sz w:val="30"/>
          <w:szCs w:val="30"/>
        </w:rPr>
        <w:t>10.</w:t>
      </w:r>
      <w:r>
        <w:rPr>
          <w:rFonts w:hint="eastAsia" w:ascii="宋体" w:hAnsi="宋体"/>
          <w:sz w:val="30"/>
          <w:szCs w:val="30"/>
        </w:rPr>
        <w:t>强化应急物资储备管理。制定《广汉市冻猪肉储备方案》并牵头完成我市冻猪肉储备任务，入储冻猪肉</w:t>
      </w:r>
      <w:r>
        <w:rPr>
          <w:rFonts w:ascii="宋体" w:hAnsi="宋体"/>
          <w:sz w:val="30"/>
          <w:szCs w:val="30"/>
        </w:rPr>
        <w:t>210</w:t>
      </w:r>
      <w:r>
        <w:rPr>
          <w:rFonts w:hint="eastAsia" w:ascii="宋体" w:hAnsi="宋体"/>
          <w:sz w:val="30"/>
          <w:szCs w:val="30"/>
        </w:rPr>
        <w:t>吨。</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750" w:firstLineChars="25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广汉市发改局属于一级预算单位，下属二级单位0个，其中行政单位1个，参照公务员法管理的事业单位</w:t>
      </w:r>
      <w:r>
        <w:rPr>
          <w:rFonts w:hint="eastAsia" w:ascii="宋体" w:hAnsi="宋体"/>
          <w:bCs/>
          <w:color w:val="000000" w:themeColor="text1"/>
          <w:sz w:val="30"/>
          <w:szCs w:val="30"/>
          <w14:textFill>
            <w14:solidFill>
              <w14:schemeClr w14:val="tx1"/>
            </w14:solidFill>
          </w14:textFill>
        </w:rPr>
        <w:t>0</w:t>
      </w:r>
      <w:r>
        <w:rPr>
          <w:rFonts w:hint="eastAsia" w:ascii="宋体" w:hAnsi="宋体"/>
          <w:color w:val="000000" w:themeColor="text1"/>
          <w:sz w:val="30"/>
          <w:szCs w:val="30"/>
          <w14:textFill>
            <w14:solidFill>
              <w14:schemeClr w14:val="tx1"/>
            </w14:solidFill>
          </w14:textFill>
        </w:rPr>
        <w:t>个，其他事业单位2个（内设2个全额拨款事业单位）。</w:t>
      </w:r>
    </w:p>
    <w:p>
      <w:pPr>
        <w:ind w:firstLine="750" w:firstLineChars="250"/>
        <w:rPr>
          <w:rFonts w:ascii="宋体" w:hAnsi="宋体"/>
          <w:color w:val="000000" w:themeColor="text1"/>
          <w:sz w:val="30"/>
          <w:szCs w:val="30"/>
          <w14:textFill>
            <w14:solidFill>
              <w14:schemeClr w14:val="tx1"/>
            </w14:solidFill>
          </w14:textFill>
        </w:rPr>
      </w:pPr>
      <w:r>
        <w:rPr>
          <w:rFonts w:hint="eastAsia" w:ascii="宋体" w:hAnsi="宋体"/>
          <w:color w:val="000000"/>
          <w:sz w:val="30"/>
          <w:szCs w:val="30"/>
        </w:rPr>
        <w:t>无纳入2019年度部门决算编制范围的二级预算单位。</w:t>
      </w:r>
    </w:p>
    <w:p>
      <w:pPr>
        <w:pStyle w:val="5"/>
        <w:adjustRightInd w:val="0"/>
        <w:snapToGrid w:val="0"/>
        <w:spacing w:before="93" w:line="600" w:lineRule="exact"/>
        <w:ind w:firstLine="630" w:firstLineChars="210"/>
        <w:rPr>
          <w:rFonts w:asciiTheme="minorEastAsia" w:hAnsiTheme="minorEastAsia" w:eastAsiaTheme="minorEastAsia"/>
          <w:color w:val="000000"/>
          <w:szCs w:val="30"/>
        </w:rPr>
      </w:pP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ind w:firstLine="600" w:firstLineChars="200"/>
        <w:rPr>
          <w:rFonts w:ascii="宋体" w:hAnsi="宋体"/>
          <w:color w:val="000000"/>
          <w:sz w:val="30"/>
          <w:szCs w:val="30"/>
        </w:rPr>
      </w:pPr>
      <w:r>
        <w:rPr>
          <w:rFonts w:hint="eastAsia" w:ascii="宋体" w:hAnsi="宋体"/>
          <w:color w:val="000000"/>
          <w:sz w:val="30"/>
          <w:szCs w:val="30"/>
        </w:rPr>
        <w:t>2019年度财政拨款收入总计5453.76万元、支出总计3360.45万元。与2018年相比，财政拨款收入总计增加2283.63万元，增长72%，支出总计增加478.35万元，增长17%。主要变动原因是机构改革，并入原粮食和物资储备职能，同时增加争取的上级各类项目资金。</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drawing>
          <wp:inline distT="0" distB="0" distL="0" distR="0">
            <wp:extent cx="4616450" cy="2257425"/>
            <wp:effectExtent l="19050" t="0" r="12589" b="9084"/>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napToGrid w:val="0"/>
        <w:spacing w:line="360" w:lineRule="auto"/>
        <w:ind w:firstLine="600" w:firstLineChars="200"/>
        <w:rPr>
          <w:rFonts w:ascii="宋体"/>
          <w:color w:val="000000"/>
          <w:sz w:val="30"/>
          <w:szCs w:val="30"/>
        </w:rPr>
      </w:pPr>
      <w:r>
        <w:rPr>
          <w:rFonts w:ascii="宋体" w:hAnsi="宋体"/>
          <w:color w:val="000000"/>
          <w:sz w:val="30"/>
          <w:szCs w:val="30"/>
        </w:rPr>
        <w:t>2019</w:t>
      </w:r>
      <w:r>
        <w:rPr>
          <w:rFonts w:hint="eastAsia" w:ascii="宋体" w:hAnsi="宋体"/>
          <w:color w:val="000000"/>
          <w:sz w:val="30"/>
          <w:szCs w:val="30"/>
        </w:rPr>
        <w:t>年本年收入合计5453.76万元，主要用于以下方面：一般公共服务（类）支出1397.58万元，占26</w:t>
      </w:r>
      <w:r>
        <w:rPr>
          <w:rFonts w:ascii="宋体" w:hAnsi="宋体"/>
          <w:color w:val="000000"/>
          <w:sz w:val="30"/>
          <w:szCs w:val="30"/>
        </w:rPr>
        <w:t>%</w:t>
      </w:r>
      <w:r>
        <w:rPr>
          <w:rFonts w:hint="eastAsia" w:ascii="宋体" w:hAnsi="宋体"/>
          <w:color w:val="000000"/>
          <w:sz w:val="30"/>
          <w:szCs w:val="30"/>
        </w:rPr>
        <w:t>；教育支出（类）</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；社会保障和就业支出192.63万元，占3</w:t>
      </w:r>
      <w:r>
        <w:rPr>
          <w:rFonts w:ascii="宋体" w:hAnsi="宋体"/>
          <w:color w:val="000000"/>
          <w:sz w:val="30"/>
          <w:szCs w:val="30"/>
        </w:rPr>
        <w:t>%</w:t>
      </w:r>
      <w:r>
        <w:rPr>
          <w:rFonts w:hint="eastAsia" w:ascii="宋体" w:hAnsi="宋体"/>
          <w:color w:val="000000"/>
          <w:sz w:val="30"/>
          <w:szCs w:val="30"/>
        </w:rPr>
        <w:t>；科学技术（类）支出</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；卫生健康支出</w:t>
      </w:r>
      <w:r>
        <w:rPr>
          <w:rFonts w:ascii="宋体" w:hAnsi="宋体"/>
          <w:color w:val="000000"/>
          <w:sz w:val="30"/>
          <w:szCs w:val="30"/>
        </w:rPr>
        <w:t>43.</w:t>
      </w:r>
      <w:r>
        <w:rPr>
          <w:rFonts w:hint="eastAsia" w:ascii="宋体" w:hAnsi="宋体"/>
          <w:color w:val="000000"/>
          <w:sz w:val="30"/>
          <w:szCs w:val="30"/>
        </w:rPr>
        <w:t>29万元，占</w:t>
      </w:r>
      <w:r>
        <w:rPr>
          <w:rFonts w:ascii="宋体" w:hAnsi="宋体"/>
          <w:color w:val="000000"/>
          <w:sz w:val="30"/>
          <w:szCs w:val="30"/>
        </w:rPr>
        <w:t>1%</w:t>
      </w:r>
      <w:r>
        <w:rPr>
          <w:rFonts w:hint="eastAsia" w:ascii="宋体" w:hAnsi="宋体"/>
          <w:color w:val="000000"/>
          <w:sz w:val="30"/>
          <w:szCs w:val="30"/>
        </w:rPr>
        <w:t>；住房保障支出</w:t>
      </w:r>
      <w:r>
        <w:rPr>
          <w:rFonts w:ascii="宋体" w:hAnsi="宋体"/>
          <w:color w:val="000000"/>
          <w:sz w:val="30"/>
          <w:szCs w:val="30"/>
        </w:rPr>
        <w:t>56.7</w:t>
      </w:r>
      <w:r>
        <w:rPr>
          <w:rFonts w:hint="eastAsia" w:ascii="宋体" w:hAnsi="宋体"/>
          <w:color w:val="000000"/>
          <w:sz w:val="30"/>
          <w:szCs w:val="30"/>
        </w:rPr>
        <w:t>2万元，占1</w:t>
      </w:r>
      <w:r>
        <w:rPr>
          <w:rFonts w:ascii="宋体" w:hAnsi="宋体"/>
          <w:color w:val="000000"/>
          <w:sz w:val="30"/>
          <w:szCs w:val="30"/>
        </w:rPr>
        <w:t>%</w:t>
      </w:r>
      <w:r>
        <w:rPr>
          <w:rFonts w:hint="eastAsia" w:ascii="宋体" w:hAnsi="宋体"/>
          <w:color w:val="000000"/>
          <w:sz w:val="30"/>
          <w:szCs w:val="30"/>
        </w:rPr>
        <w:t>；粮油物资储备支出3753.54万元，占68.80</w:t>
      </w:r>
      <w:r>
        <w:rPr>
          <w:rFonts w:ascii="宋体" w:hAnsi="宋体"/>
          <w:color w:val="000000"/>
          <w:sz w:val="30"/>
          <w:szCs w:val="30"/>
        </w:rPr>
        <w:t>%</w:t>
      </w:r>
      <w:r>
        <w:rPr>
          <w:rFonts w:hint="eastAsia" w:ascii="宋体" w:hAnsi="宋体"/>
          <w:color w:val="000000"/>
          <w:sz w:val="30"/>
          <w:szCs w:val="30"/>
        </w:rPr>
        <w:t>；其他支出10万元，占</w:t>
      </w:r>
      <w:r>
        <w:rPr>
          <w:rFonts w:ascii="宋体" w:hAnsi="宋体"/>
          <w:color w:val="000000"/>
          <w:sz w:val="30"/>
          <w:szCs w:val="30"/>
        </w:rPr>
        <w:t>0.2%</w:t>
      </w:r>
      <w:r>
        <w:rPr>
          <w:rFonts w:hint="eastAsia" w:ascii="宋体" w:hAnsi="宋体"/>
          <w:color w:val="000000"/>
          <w:sz w:val="30"/>
          <w:szCs w:val="30"/>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drawing>
          <wp:inline distT="0" distB="0" distL="0" distR="0">
            <wp:extent cx="4727575" cy="3076575"/>
            <wp:effectExtent l="19050" t="0" r="15571" b="89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1"/>
        </w:numPr>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napToGrid w:val="0"/>
        <w:spacing w:line="360" w:lineRule="auto"/>
        <w:ind w:firstLine="600" w:firstLineChars="200"/>
        <w:rPr>
          <w:rFonts w:ascii="宋体"/>
          <w:color w:val="000000"/>
          <w:sz w:val="30"/>
          <w:szCs w:val="30"/>
        </w:rPr>
      </w:pPr>
      <w:r>
        <w:rPr>
          <w:rFonts w:ascii="宋体" w:hAnsi="宋体"/>
          <w:color w:val="000000"/>
          <w:sz w:val="30"/>
          <w:szCs w:val="30"/>
        </w:rPr>
        <w:t>2019</w:t>
      </w:r>
      <w:r>
        <w:rPr>
          <w:rFonts w:hint="eastAsia" w:ascii="宋体" w:hAnsi="宋体"/>
          <w:color w:val="000000"/>
          <w:sz w:val="30"/>
          <w:szCs w:val="30"/>
        </w:rPr>
        <w:t>年一般公共预算财政拨款支出3360.45万元，主要用于以下方面：一般公共服务（类）支出</w:t>
      </w:r>
      <w:r>
        <w:rPr>
          <w:rFonts w:ascii="宋体" w:hAnsi="宋体"/>
          <w:color w:val="000000"/>
          <w:sz w:val="30"/>
          <w:szCs w:val="30"/>
        </w:rPr>
        <w:t>1458.1</w:t>
      </w:r>
      <w:r>
        <w:rPr>
          <w:rFonts w:hint="eastAsia" w:ascii="宋体" w:hAnsi="宋体"/>
          <w:color w:val="000000"/>
          <w:sz w:val="30"/>
          <w:szCs w:val="30"/>
        </w:rPr>
        <w:t>4万元，占</w:t>
      </w:r>
      <w:r>
        <w:rPr>
          <w:rFonts w:ascii="宋体" w:hAnsi="宋体"/>
          <w:color w:val="000000"/>
          <w:sz w:val="30"/>
          <w:szCs w:val="30"/>
        </w:rPr>
        <w:t>43%</w:t>
      </w:r>
      <w:r>
        <w:rPr>
          <w:rFonts w:hint="eastAsia" w:ascii="宋体" w:hAnsi="宋体"/>
          <w:color w:val="000000"/>
          <w:sz w:val="30"/>
          <w:szCs w:val="30"/>
        </w:rPr>
        <w:t>；教育支出（类）</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；社会保障和就业支出</w:t>
      </w:r>
      <w:r>
        <w:rPr>
          <w:rFonts w:ascii="宋体" w:hAnsi="宋体"/>
          <w:color w:val="000000"/>
          <w:sz w:val="30"/>
          <w:szCs w:val="30"/>
        </w:rPr>
        <w:t>200.</w:t>
      </w:r>
      <w:r>
        <w:rPr>
          <w:rFonts w:hint="eastAsia" w:ascii="宋体" w:hAnsi="宋体"/>
          <w:color w:val="000000"/>
          <w:sz w:val="30"/>
          <w:szCs w:val="30"/>
        </w:rPr>
        <w:t>20万元，占</w:t>
      </w:r>
      <w:r>
        <w:rPr>
          <w:rFonts w:ascii="宋体" w:hAnsi="宋体"/>
          <w:color w:val="000000"/>
          <w:sz w:val="30"/>
          <w:szCs w:val="30"/>
        </w:rPr>
        <w:t>5.8%</w:t>
      </w:r>
      <w:r>
        <w:rPr>
          <w:rFonts w:hint="eastAsia" w:ascii="宋体" w:hAnsi="宋体"/>
          <w:color w:val="000000"/>
          <w:sz w:val="30"/>
          <w:szCs w:val="30"/>
        </w:rPr>
        <w:t>；科学技术（类）支出</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；卫生健康支出</w:t>
      </w:r>
      <w:r>
        <w:rPr>
          <w:rFonts w:ascii="宋体" w:hAnsi="宋体"/>
          <w:color w:val="000000"/>
          <w:sz w:val="30"/>
          <w:szCs w:val="30"/>
        </w:rPr>
        <w:t>43.</w:t>
      </w:r>
      <w:r>
        <w:rPr>
          <w:rFonts w:hint="eastAsia" w:ascii="宋体" w:hAnsi="宋体"/>
          <w:color w:val="000000"/>
          <w:sz w:val="30"/>
          <w:szCs w:val="30"/>
        </w:rPr>
        <w:t>30万元，占</w:t>
      </w:r>
      <w:r>
        <w:rPr>
          <w:rFonts w:ascii="宋体" w:hAnsi="宋体"/>
          <w:color w:val="000000"/>
          <w:sz w:val="30"/>
          <w:szCs w:val="30"/>
        </w:rPr>
        <w:t>1%</w:t>
      </w:r>
      <w:r>
        <w:rPr>
          <w:rFonts w:hint="eastAsia" w:ascii="宋体" w:hAnsi="宋体"/>
          <w:color w:val="000000"/>
          <w:sz w:val="30"/>
          <w:szCs w:val="30"/>
        </w:rPr>
        <w:t>；住房保障支出</w:t>
      </w:r>
      <w:r>
        <w:rPr>
          <w:rFonts w:ascii="宋体" w:hAnsi="宋体"/>
          <w:color w:val="000000"/>
          <w:sz w:val="30"/>
          <w:szCs w:val="30"/>
        </w:rPr>
        <w:t>56.7</w:t>
      </w:r>
      <w:r>
        <w:rPr>
          <w:rFonts w:hint="eastAsia" w:ascii="宋体" w:hAnsi="宋体"/>
          <w:color w:val="000000"/>
          <w:sz w:val="30"/>
          <w:szCs w:val="30"/>
        </w:rPr>
        <w:t>2万元，占</w:t>
      </w:r>
      <w:r>
        <w:rPr>
          <w:rFonts w:ascii="宋体" w:hAnsi="宋体"/>
          <w:color w:val="000000"/>
          <w:sz w:val="30"/>
          <w:szCs w:val="30"/>
        </w:rPr>
        <w:t>2%</w:t>
      </w:r>
      <w:r>
        <w:rPr>
          <w:rFonts w:hint="eastAsia" w:ascii="宋体" w:hAnsi="宋体"/>
          <w:color w:val="000000"/>
          <w:sz w:val="30"/>
          <w:szCs w:val="30"/>
        </w:rPr>
        <w:t>；金融支出</w:t>
      </w:r>
      <w:r>
        <w:rPr>
          <w:rFonts w:ascii="宋体" w:hAnsi="宋体"/>
          <w:color w:val="000000"/>
          <w:sz w:val="30"/>
          <w:szCs w:val="30"/>
        </w:rPr>
        <w:t>160.36</w:t>
      </w:r>
      <w:r>
        <w:rPr>
          <w:rFonts w:hint="eastAsia" w:ascii="宋体" w:hAnsi="宋体"/>
          <w:color w:val="000000"/>
          <w:sz w:val="30"/>
          <w:szCs w:val="30"/>
        </w:rPr>
        <w:t>万元，占</w:t>
      </w:r>
      <w:r>
        <w:rPr>
          <w:rFonts w:ascii="宋体" w:hAnsi="宋体"/>
          <w:color w:val="000000"/>
          <w:sz w:val="30"/>
          <w:szCs w:val="30"/>
        </w:rPr>
        <w:t>5%</w:t>
      </w:r>
      <w:r>
        <w:rPr>
          <w:rFonts w:hint="eastAsia" w:ascii="宋体" w:hAnsi="宋体"/>
          <w:color w:val="000000"/>
          <w:sz w:val="30"/>
          <w:szCs w:val="30"/>
        </w:rPr>
        <w:t>；粮油物资储备支出</w:t>
      </w:r>
      <w:r>
        <w:rPr>
          <w:rFonts w:ascii="宋体" w:hAnsi="宋体"/>
          <w:color w:val="000000"/>
          <w:sz w:val="30"/>
          <w:szCs w:val="30"/>
        </w:rPr>
        <w:t>1435.7</w:t>
      </w:r>
      <w:r>
        <w:rPr>
          <w:rFonts w:hint="eastAsia" w:ascii="宋体" w:hAnsi="宋体"/>
          <w:color w:val="000000"/>
          <w:sz w:val="30"/>
          <w:szCs w:val="30"/>
        </w:rPr>
        <w:t>3万元，占</w:t>
      </w:r>
      <w:r>
        <w:rPr>
          <w:rFonts w:ascii="宋体" w:hAnsi="宋体"/>
          <w:color w:val="000000"/>
          <w:sz w:val="30"/>
          <w:szCs w:val="30"/>
        </w:rPr>
        <w:t>43%</w:t>
      </w:r>
      <w:r>
        <w:rPr>
          <w:rFonts w:hint="eastAsia" w:ascii="宋体" w:hAnsi="宋体"/>
          <w:color w:val="000000"/>
          <w:sz w:val="30"/>
          <w:szCs w:val="30"/>
        </w:rPr>
        <w:t>；其他支出</w:t>
      </w:r>
      <w:r>
        <w:rPr>
          <w:rFonts w:ascii="宋体" w:hAnsi="宋体"/>
          <w:color w:val="000000"/>
          <w:sz w:val="30"/>
          <w:szCs w:val="30"/>
        </w:rPr>
        <w:t>6</w:t>
      </w:r>
      <w:r>
        <w:rPr>
          <w:rFonts w:hint="eastAsia" w:ascii="宋体" w:hAnsi="宋体"/>
          <w:color w:val="000000"/>
          <w:sz w:val="30"/>
          <w:szCs w:val="30"/>
        </w:rPr>
        <w:t>万元，占</w:t>
      </w:r>
      <w:r>
        <w:rPr>
          <w:rFonts w:ascii="宋体" w:hAnsi="宋体"/>
          <w:color w:val="000000"/>
          <w:sz w:val="30"/>
          <w:szCs w:val="30"/>
        </w:rPr>
        <w:t>0.2%</w:t>
      </w:r>
      <w:r>
        <w:rPr>
          <w:rFonts w:hint="eastAsia" w:ascii="宋体" w:hAnsi="宋体"/>
          <w:color w:val="000000"/>
          <w:sz w:val="30"/>
          <w:szCs w:val="30"/>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rPr>
          <w:rFonts w:ascii="仿宋_GB2312" w:eastAsia="仿宋_GB2312"/>
          <w:color w:val="000000" w:themeColor="text1"/>
          <w:sz w:val="32"/>
          <w:szCs w:val="32"/>
          <w14:textFill>
            <w14:solidFill>
              <w14:schemeClr w14:val="tx1"/>
            </w14:solidFill>
          </w14:textFill>
        </w:rPr>
      </w:pP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387850" cy="3077210"/>
            <wp:effectExtent l="19050" t="0" r="12644" b="894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_GB2312" w:eastAsia="仿宋_GB2312"/>
          <w:color w:val="FF0000"/>
          <w:sz w:val="32"/>
          <w:szCs w:val="32"/>
        </w:rPr>
        <w:br w:type="textWrapping" w:clear="all"/>
      </w:r>
    </w:p>
    <w:p>
      <w:pPr>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ind w:firstLine="600" w:firstLineChars="200"/>
        <w:rPr>
          <w:rFonts w:ascii="宋体" w:hAnsi="宋体"/>
          <w:color w:val="000000"/>
          <w:sz w:val="30"/>
          <w:szCs w:val="30"/>
        </w:rPr>
      </w:pPr>
      <w:r>
        <w:rPr>
          <w:rFonts w:hint="eastAsia" w:ascii="宋体" w:hAnsi="宋体"/>
          <w:color w:val="000000"/>
          <w:sz w:val="30"/>
          <w:szCs w:val="30"/>
        </w:rPr>
        <w:t>2019年度财政拨款收入总计5453.76万元、支出总计3360.45万元。与2018年相比，财政拨款收入总计增加2283.63万元，增长72%，支出总计增加478.35万元，增长17%。主要变动原因是2019年机构改革，并入粮食和物资储备职能，同时财政拨款收入增加主要为争取的上级项目资金。</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ind w:firstLine="640"/>
        <w:rPr>
          <w:rFonts w:ascii="仿宋" w:hAnsi="仿宋" w:eastAsia="仿宋"/>
          <w:b/>
          <w:color w:val="00B050"/>
          <w:sz w:val="32"/>
          <w:szCs w:val="32"/>
        </w:rPr>
      </w:pPr>
      <w:r>
        <w:rPr>
          <w:rFonts w:hint="eastAsia" w:ascii="仿宋" w:hAnsi="仿宋" w:eastAsia="仿宋"/>
          <w:b/>
          <w:color w:val="00B050"/>
          <w:sz w:val="32"/>
          <w:szCs w:val="32"/>
        </w:rPr>
        <w:drawing>
          <wp:inline distT="0" distB="0" distL="0" distR="0">
            <wp:extent cx="4934585" cy="3075940"/>
            <wp:effectExtent l="19050" t="0" r="18387"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ind w:firstLine="600" w:firstLineChars="200"/>
        <w:rPr>
          <w:rFonts w:ascii="宋体" w:hAnsi="宋体"/>
          <w:color w:val="000000"/>
          <w:sz w:val="30"/>
          <w:szCs w:val="30"/>
        </w:rPr>
      </w:pPr>
      <w:r>
        <w:rPr>
          <w:rFonts w:ascii="宋体" w:hAnsi="宋体"/>
          <w:color w:val="000000"/>
          <w:sz w:val="30"/>
          <w:szCs w:val="30"/>
        </w:rPr>
        <w:t>201</w:t>
      </w:r>
      <w:r>
        <w:rPr>
          <w:rFonts w:hint="eastAsia" w:ascii="宋体" w:hAnsi="宋体"/>
          <w:color w:val="000000"/>
          <w:sz w:val="30"/>
          <w:szCs w:val="30"/>
        </w:rPr>
        <w:t>9年一般公共预算财政拨款支出3360.45万元，占本年支出合计的100</w:t>
      </w:r>
      <w:r>
        <w:rPr>
          <w:rFonts w:ascii="宋体" w:hAnsi="宋体"/>
          <w:color w:val="000000"/>
          <w:sz w:val="30"/>
          <w:szCs w:val="30"/>
        </w:rPr>
        <w:t>%</w:t>
      </w:r>
      <w:r>
        <w:rPr>
          <w:rFonts w:hint="eastAsia" w:ascii="宋体" w:hAnsi="宋体"/>
          <w:color w:val="000000"/>
          <w:sz w:val="30"/>
          <w:szCs w:val="30"/>
        </w:rPr>
        <w:t>。与</w:t>
      </w:r>
      <w:r>
        <w:rPr>
          <w:rFonts w:ascii="宋体" w:hAnsi="宋体"/>
          <w:color w:val="000000"/>
          <w:sz w:val="30"/>
          <w:szCs w:val="30"/>
        </w:rPr>
        <w:t>201</w:t>
      </w:r>
      <w:r>
        <w:rPr>
          <w:rFonts w:hint="eastAsia" w:ascii="宋体" w:hAnsi="宋体"/>
          <w:color w:val="000000"/>
          <w:sz w:val="30"/>
          <w:szCs w:val="30"/>
        </w:rPr>
        <w:t>8年相比，一般公共预算财政拨款增加2301.58万元，增长217</w:t>
      </w:r>
      <w:r>
        <w:rPr>
          <w:rFonts w:ascii="宋体" w:hAnsi="宋体"/>
          <w:color w:val="000000"/>
          <w:sz w:val="30"/>
          <w:szCs w:val="30"/>
        </w:rPr>
        <w:t>%</w:t>
      </w:r>
      <w:r>
        <w:rPr>
          <w:rFonts w:hint="eastAsia" w:ascii="宋体" w:hAnsi="宋体"/>
          <w:color w:val="000000"/>
          <w:sz w:val="30"/>
          <w:szCs w:val="30"/>
        </w:rPr>
        <w:t>。主要变动原因是2019年机构改革，并入粮食局职能，因原粮食局为参照公务员管理的事业单位，预决算科目有差异造成增加50%。</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inline distT="0" distB="0" distL="0" distR="0">
            <wp:extent cx="4703445" cy="3075940"/>
            <wp:effectExtent l="19050" t="0" r="2037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napToGrid w:val="0"/>
        <w:spacing w:line="360" w:lineRule="auto"/>
        <w:ind w:firstLine="600" w:firstLineChars="200"/>
        <w:rPr>
          <w:rFonts w:ascii="宋体" w:hAnsi="宋体"/>
          <w:color w:val="000000"/>
          <w:sz w:val="30"/>
          <w:szCs w:val="30"/>
        </w:rPr>
      </w:pPr>
      <w:r>
        <w:rPr>
          <w:rFonts w:ascii="宋体" w:hAnsi="宋体"/>
          <w:color w:val="000000"/>
          <w:sz w:val="30"/>
          <w:szCs w:val="30"/>
        </w:rPr>
        <w:t>2019</w:t>
      </w:r>
      <w:r>
        <w:rPr>
          <w:rFonts w:hint="eastAsia" w:ascii="宋体" w:hAnsi="宋体"/>
          <w:color w:val="000000"/>
          <w:sz w:val="30"/>
          <w:szCs w:val="30"/>
        </w:rPr>
        <w:t>年一般公共预算财政拨款支出3360.45万元，主要用于以下方面：一般公共服务（类）支出</w:t>
      </w:r>
      <w:r>
        <w:rPr>
          <w:rFonts w:ascii="宋体" w:hAnsi="宋体"/>
          <w:color w:val="000000"/>
          <w:sz w:val="30"/>
          <w:szCs w:val="30"/>
        </w:rPr>
        <w:t>1458.1</w:t>
      </w:r>
      <w:r>
        <w:rPr>
          <w:rFonts w:hint="eastAsia" w:ascii="宋体" w:hAnsi="宋体"/>
          <w:color w:val="000000"/>
          <w:sz w:val="30"/>
          <w:szCs w:val="30"/>
        </w:rPr>
        <w:t>4万元，占</w:t>
      </w:r>
      <w:r>
        <w:rPr>
          <w:rFonts w:ascii="宋体" w:hAnsi="宋体"/>
          <w:color w:val="000000"/>
          <w:sz w:val="30"/>
          <w:szCs w:val="30"/>
        </w:rPr>
        <w:t>43%</w:t>
      </w:r>
      <w:r>
        <w:rPr>
          <w:rFonts w:hint="eastAsia" w:ascii="宋体" w:hAnsi="宋体"/>
          <w:color w:val="000000"/>
          <w:sz w:val="30"/>
          <w:szCs w:val="30"/>
        </w:rPr>
        <w:t>；教育支出（类）</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；社会保障和就业支出</w:t>
      </w:r>
      <w:r>
        <w:rPr>
          <w:rFonts w:ascii="宋体" w:hAnsi="宋体"/>
          <w:color w:val="000000"/>
          <w:sz w:val="30"/>
          <w:szCs w:val="30"/>
        </w:rPr>
        <w:t>200.</w:t>
      </w:r>
      <w:r>
        <w:rPr>
          <w:rFonts w:hint="eastAsia" w:ascii="宋体" w:hAnsi="宋体"/>
          <w:color w:val="000000"/>
          <w:sz w:val="30"/>
          <w:szCs w:val="30"/>
        </w:rPr>
        <w:t>20万元，占</w:t>
      </w:r>
      <w:r>
        <w:rPr>
          <w:rFonts w:ascii="宋体" w:hAnsi="宋体"/>
          <w:color w:val="000000"/>
          <w:sz w:val="30"/>
          <w:szCs w:val="30"/>
        </w:rPr>
        <w:t>5.8%</w:t>
      </w:r>
      <w:r>
        <w:rPr>
          <w:rFonts w:hint="eastAsia" w:ascii="宋体" w:hAnsi="宋体"/>
          <w:color w:val="000000"/>
          <w:sz w:val="30"/>
          <w:szCs w:val="30"/>
        </w:rPr>
        <w:t>；科学技术（类）支出</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；卫生健康支出</w:t>
      </w:r>
      <w:r>
        <w:rPr>
          <w:rFonts w:ascii="宋体" w:hAnsi="宋体"/>
          <w:color w:val="000000"/>
          <w:sz w:val="30"/>
          <w:szCs w:val="30"/>
        </w:rPr>
        <w:t>43.</w:t>
      </w:r>
      <w:r>
        <w:rPr>
          <w:rFonts w:hint="eastAsia" w:ascii="宋体" w:hAnsi="宋体"/>
          <w:color w:val="000000"/>
          <w:sz w:val="30"/>
          <w:szCs w:val="30"/>
        </w:rPr>
        <w:t>30万元，占</w:t>
      </w:r>
      <w:r>
        <w:rPr>
          <w:rFonts w:ascii="宋体" w:hAnsi="宋体"/>
          <w:color w:val="000000"/>
          <w:sz w:val="30"/>
          <w:szCs w:val="30"/>
        </w:rPr>
        <w:t>1%</w:t>
      </w:r>
      <w:r>
        <w:rPr>
          <w:rFonts w:hint="eastAsia" w:ascii="宋体" w:hAnsi="宋体"/>
          <w:color w:val="000000"/>
          <w:sz w:val="30"/>
          <w:szCs w:val="30"/>
        </w:rPr>
        <w:t>；住房保障支出</w:t>
      </w:r>
      <w:r>
        <w:rPr>
          <w:rFonts w:ascii="宋体" w:hAnsi="宋体"/>
          <w:color w:val="000000"/>
          <w:sz w:val="30"/>
          <w:szCs w:val="30"/>
        </w:rPr>
        <w:t>56.7</w:t>
      </w:r>
      <w:r>
        <w:rPr>
          <w:rFonts w:hint="eastAsia" w:ascii="宋体" w:hAnsi="宋体"/>
          <w:color w:val="000000"/>
          <w:sz w:val="30"/>
          <w:szCs w:val="30"/>
        </w:rPr>
        <w:t>2万元，占</w:t>
      </w:r>
      <w:r>
        <w:rPr>
          <w:rFonts w:ascii="宋体" w:hAnsi="宋体"/>
          <w:color w:val="000000"/>
          <w:sz w:val="30"/>
          <w:szCs w:val="30"/>
        </w:rPr>
        <w:t>2%</w:t>
      </w:r>
      <w:r>
        <w:rPr>
          <w:rFonts w:hint="eastAsia" w:ascii="宋体" w:hAnsi="宋体"/>
          <w:color w:val="000000"/>
          <w:sz w:val="30"/>
          <w:szCs w:val="30"/>
        </w:rPr>
        <w:t>；金融支出</w:t>
      </w:r>
      <w:r>
        <w:rPr>
          <w:rFonts w:ascii="宋体" w:hAnsi="宋体"/>
          <w:color w:val="000000"/>
          <w:sz w:val="30"/>
          <w:szCs w:val="30"/>
        </w:rPr>
        <w:t>160.36</w:t>
      </w:r>
      <w:r>
        <w:rPr>
          <w:rFonts w:hint="eastAsia" w:ascii="宋体" w:hAnsi="宋体"/>
          <w:color w:val="000000"/>
          <w:sz w:val="30"/>
          <w:szCs w:val="30"/>
        </w:rPr>
        <w:t>万元，占</w:t>
      </w:r>
      <w:r>
        <w:rPr>
          <w:rFonts w:ascii="宋体" w:hAnsi="宋体"/>
          <w:color w:val="000000"/>
          <w:sz w:val="30"/>
          <w:szCs w:val="30"/>
        </w:rPr>
        <w:t>5%</w:t>
      </w:r>
      <w:r>
        <w:rPr>
          <w:rFonts w:hint="eastAsia" w:ascii="宋体" w:hAnsi="宋体"/>
          <w:color w:val="000000"/>
          <w:sz w:val="30"/>
          <w:szCs w:val="30"/>
        </w:rPr>
        <w:t>；粮油物资储备支出</w:t>
      </w:r>
      <w:r>
        <w:rPr>
          <w:rFonts w:ascii="宋体" w:hAnsi="宋体"/>
          <w:color w:val="000000"/>
          <w:sz w:val="30"/>
          <w:szCs w:val="30"/>
        </w:rPr>
        <w:t>1435.7</w:t>
      </w:r>
      <w:r>
        <w:rPr>
          <w:rFonts w:hint="eastAsia" w:ascii="宋体" w:hAnsi="宋体"/>
          <w:color w:val="000000"/>
          <w:sz w:val="30"/>
          <w:szCs w:val="30"/>
        </w:rPr>
        <w:t>3万元，占</w:t>
      </w:r>
      <w:r>
        <w:rPr>
          <w:rFonts w:ascii="宋体" w:hAnsi="宋体"/>
          <w:color w:val="000000"/>
          <w:sz w:val="30"/>
          <w:szCs w:val="30"/>
        </w:rPr>
        <w:t>43%</w:t>
      </w:r>
      <w:r>
        <w:rPr>
          <w:rFonts w:hint="eastAsia" w:ascii="宋体" w:hAnsi="宋体"/>
          <w:color w:val="000000"/>
          <w:sz w:val="30"/>
          <w:szCs w:val="30"/>
        </w:rPr>
        <w:t>；其他支出</w:t>
      </w:r>
      <w:r>
        <w:rPr>
          <w:rFonts w:ascii="宋体" w:hAnsi="宋体"/>
          <w:color w:val="000000"/>
          <w:sz w:val="30"/>
          <w:szCs w:val="30"/>
        </w:rPr>
        <w:t>6</w:t>
      </w:r>
      <w:r>
        <w:rPr>
          <w:rFonts w:hint="eastAsia" w:ascii="宋体" w:hAnsi="宋体"/>
          <w:color w:val="000000"/>
          <w:sz w:val="30"/>
          <w:szCs w:val="30"/>
        </w:rPr>
        <w:t>万元，占</w:t>
      </w:r>
      <w:r>
        <w:rPr>
          <w:rFonts w:ascii="宋体" w:hAnsi="宋体"/>
          <w:color w:val="000000"/>
          <w:sz w:val="30"/>
          <w:szCs w:val="30"/>
        </w:rPr>
        <w:t>0.2%</w:t>
      </w:r>
      <w:r>
        <w:rPr>
          <w:rFonts w:hint="eastAsia" w:ascii="宋体" w:hAnsi="宋体"/>
          <w:color w:val="000000"/>
          <w:sz w:val="30"/>
          <w:szCs w:val="30"/>
        </w:rPr>
        <w:t>。</w:t>
      </w:r>
      <w:r>
        <w:rPr>
          <w:rFonts w:hint="eastAsia" w:ascii="宋体" w:hAnsi="宋体"/>
          <w:color w:val="000000" w:themeColor="text1"/>
          <w:sz w:val="30"/>
          <w:szCs w:val="30"/>
          <w14:textFill>
            <w14:solidFill>
              <w14:schemeClr w14:val="tx1"/>
            </w14:solidFill>
          </w14:textFill>
        </w:rPr>
        <w:t>（罗列全部功能分类科目，至类级。）</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（图6：一般公共预算财政拨款支出决算结构）（饼状图）</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4576445" cy="3076575"/>
            <wp:effectExtent l="19050" t="0" r="14246" b="89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ind w:firstLine="643" w:firstLineChars="200"/>
        <w:outlineLvl w:val="2"/>
        <w:rPr>
          <w:rStyle w:val="14"/>
          <w:rFonts w:ascii="仿宋" w:hAnsi="仿宋" w:eastAsia="仿宋"/>
          <w:bCs/>
          <w:color w:val="000000" w:themeColor="text1"/>
          <w:sz w:val="32"/>
          <w:szCs w:val="32"/>
          <w14:textFill>
            <w14:solidFill>
              <w14:schemeClr w14:val="tx1"/>
            </w14:solidFill>
          </w14:textFill>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2019年一般公共预算支出决算数为3360.45</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完成预算62</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。其中：</w:t>
      </w:r>
      <w:bookmarkEnd w:id="37"/>
      <w:bookmarkEnd w:id="38"/>
      <w:bookmarkEnd w:id="39"/>
    </w:p>
    <w:p>
      <w:pPr>
        <w:spacing w:line="600" w:lineRule="exact"/>
        <w:ind w:firstLine="643" w:firstLineChars="200"/>
        <w:outlineLvl w:val="2"/>
        <w:rPr>
          <w:rStyle w:val="14"/>
          <w:rFonts w:ascii="仿宋" w:hAnsi="仿宋" w:eastAsia="仿宋"/>
          <w:b w:val="0"/>
          <w:bCs/>
          <w:color w:val="000000" w:themeColor="text1"/>
          <w:sz w:val="32"/>
          <w:szCs w:val="32"/>
          <w14:textFill>
            <w14:solidFill>
              <w14:schemeClr w14:val="tx1"/>
            </w14:solidFill>
          </w14:textFill>
        </w:rPr>
      </w:pPr>
      <w:r>
        <w:rPr>
          <w:rStyle w:val="14"/>
          <w:rFonts w:ascii="仿宋" w:hAnsi="仿宋" w:eastAsia="仿宋"/>
          <w:bCs/>
          <w:color w:val="000000" w:themeColor="text1"/>
          <w:sz w:val="32"/>
          <w:szCs w:val="32"/>
          <w14:textFill>
            <w14:solidFill>
              <w14:schemeClr w14:val="tx1"/>
            </w14:solidFill>
          </w14:textFill>
        </w:rPr>
        <w:t>1.</w:t>
      </w:r>
      <w:r>
        <w:rPr>
          <w:rStyle w:val="14"/>
          <w:rFonts w:hint="eastAsia" w:ascii="仿宋" w:hAnsi="仿宋" w:eastAsia="仿宋"/>
          <w:bCs/>
          <w:color w:val="000000" w:themeColor="text1"/>
          <w:sz w:val="32"/>
          <w:szCs w:val="32"/>
          <w14:textFill>
            <w14:solidFill>
              <w14:schemeClr w14:val="tx1"/>
            </w14:solidFill>
          </w14:textFill>
        </w:rPr>
        <w:t>一般公共服务201（类）04（款）**（项）发展与改革事务</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支出决算为1458.14万元，完成预算104</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，决算数大于预算数主要原因是上年财政结余。</w:t>
      </w:r>
    </w:p>
    <w:p>
      <w:pPr>
        <w:spacing w:line="600" w:lineRule="exact"/>
        <w:ind w:firstLine="643" w:firstLineChars="200"/>
        <w:outlineLvl w:val="2"/>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其中：一般公共服务201（类）04（款）01（项）行政运行</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支出决算为1400.16万元，完成预算104</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，决算数大于预算数主要原因是上年财政结余。</w:t>
      </w:r>
    </w:p>
    <w:p>
      <w:pPr>
        <w:spacing w:line="600" w:lineRule="exact"/>
        <w:ind w:firstLine="643" w:firstLineChars="200"/>
        <w:outlineLvl w:val="2"/>
        <w:rPr>
          <w:rFonts w:ascii="仿宋" w:hAnsi="仿宋" w:eastAsia="仿宋"/>
          <w:bCs/>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14:textFill>
            <w14:solidFill>
              <w14:schemeClr w14:val="tx1"/>
            </w14:solidFill>
          </w14:textFill>
        </w:rPr>
        <w:t>其中：一般公共服务201（类）04（款）02（项）一般行政管理事务</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支出决算为57.98万元，完成预算0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，决算数小于预算数主要原因是为上年财政结余。</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2.社会保障和就业208（类）05（款）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（项）行政事业单位离退休</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支出决算为200.20万元，完成预算103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，决算数大于预算数的主要原因是</w:t>
      </w:r>
      <w:r>
        <w:rPr>
          <w:rStyle w:val="14"/>
          <w:rFonts w:hint="eastAsia" w:ascii="仿宋" w:hAnsi="仿宋" w:eastAsia="仿宋"/>
          <w:b w:val="0"/>
          <w:bCs/>
          <w:color w:val="000000" w:themeColor="text1"/>
          <w:sz w:val="32"/>
          <w:szCs w:val="32"/>
          <w14:textFill>
            <w14:solidFill>
              <w14:schemeClr w14:val="tx1"/>
            </w14:solidFill>
          </w14:textFill>
        </w:rPr>
        <w:t>有上年财政结余</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其中：社会保障和就业208（类）05（款）02（项）事业单位离退休</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支出决算为19.90万元，完成预算103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，决算数大于预算数主要原因是有上年财政结余。</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其中：社会保障和就业208（类）05（款）04（项）未归口管理的行政单位离退休</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支出决算为91.12万元，完成预算100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其中：社会保障和就业208（类）05（款）05（项）机关事业单位基本养老保险缴费支出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支出决算为61.11万元，完成预算100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其中：社会保障和就业208（类）05（款）06（项）机关事业单位职业年金缴费支出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支出决算为28.07万元，完成预算100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卫生健康210</w:t>
      </w:r>
      <w:r>
        <w:rPr>
          <w:rStyle w:val="14"/>
          <w:rFonts w:hint="eastAsia" w:ascii="仿宋" w:hAnsi="仿宋" w:eastAsia="仿宋"/>
          <w:bCs/>
          <w:color w:val="000000"/>
          <w:sz w:val="32"/>
          <w:szCs w:val="32"/>
        </w:rPr>
        <w:t>（类）11（款）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（项）行政事业单位医疗</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支出决算为43.30万元，完成预算100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其中：卫生健康210</w:t>
      </w:r>
      <w:r>
        <w:rPr>
          <w:rStyle w:val="14"/>
          <w:rFonts w:hint="eastAsia" w:ascii="仿宋" w:hAnsi="仿宋" w:eastAsia="仿宋"/>
          <w:bCs/>
          <w:color w:val="000000"/>
          <w:sz w:val="32"/>
          <w:szCs w:val="32"/>
        </w:rPr>
        <w:t>（类）11（款）01（项）行政单位医疗</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支出决算为9.42万元，完成预算100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其中：卫生健康210</w:t>
      </w:r>
      <w:r>
        <w:rPr>
          <w:rStyle w:val="14"/>
          <w:rFonts w:hint="eastAsia" w:ascii="仿宋" w:hAnsi="仿宋" w:eastAsia="仿宋"/>
          <w:bCs/>
          <w:color w:val="000000"/>
          <w:sz w:val="32"/>
          <w:szCs w:val="32"/>
        </w:rPr>
        <w:t>（类）11（款）02（项）事业单位医疗</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支出决算为11.92万元，完成预算100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其中：卫生健康210</w:t>
      </w:r>
      <w:r>
        <w:rPr>
          <w:rStyle w:val="14"/>
          <w:rFonts w:hint="eastAsia" w:ascii="仿宋" w:hAnsi="仿宋" w:eastAsia="仿宋"/>
          <w:bCs/>
          <w:color w:val="000000"/>
          <w:sz w:val="32"/>
          <w:szCs w:val="32"/>
        </w:rPr>
        <w:t>（类）11（款）03（项）公务员医疗补助</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支出决算为20.58万元，完成预算100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bCs/>
          <w:color w:val="000000" w:themeColor="text1"/>
          <w:sz w:val="32"/>
          <w:szCs w:val="32"/>
          <w14:textFill>
            <w14:solidFill>
              <w14:schemeClr w14:val="tx1"/>
            </w14:solidFill>
          </w14:textFill>
        </w:rPr>
        <w:t>其中：卫生健康210</w:t>
      </w:r>
      <w:r>
        <w:rPr>
          <w:rStyle w:val="14"/>
          <w:rFonts w:hint="eastAsia" w:ascii="仿宋" w:hAnsi="仿宋" w:eastAsia="仿宋"/>
          <w:bCs/>
          <w:color w:val="000000"/>
          <w:sz w:val="32"/>
          <w:szCs w:val="32"/>
        </w:rPr>
        <w:t>（类）99（款）01（项）其他卫生健康支出</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支出决算为1.38万元，完成预算100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金融217（类）03（款）99（项）其他金融发展支出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支出决算为160.36万元，完成预算0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，决算数小于预算数的主要原因是该笔支出为上年财政应返还额度。</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住房保障221（类）02（款）01（项）住房公积金</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支出决算为56.72万元，完成预算100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粮油物资储备222（类）**（款）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（项）粮油物资储备</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支出决算为1435.74万元，完成预算38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，决算数小于预算数的主要原因是财政下达的省级项目资金，按项目进度拨付。</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其中：粮油物资储备222（类）01（款）01（项）行政运行</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支出决算为86.58万元，完成预算100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其中：粮油物资储备222（类）01（款）50（项）事业运行</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支出决算为233.29万元，完成预算100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left="105" w:leftChars="50" w:firstLine="482" w:firstLineChars="15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其中：粮油物资储备222（类）01（款）99（项）其他粮油事务支出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支出决算为390.35万元，完成预算100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其中：粮油物资储备222（类）04（款）01（项）储备粮油补贴</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支出决算为136.61万元，完成预算100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其中：粮油物资储备222（类）04（款）03（项）储备粮（油）库建设</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支出决算为58.91万元，完成预算38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，决算数小于预算数的主要原因是财政下达的省级项目资金，按项目进度拨付。</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其他支出229（类）99（款）01（项）其他支出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支出决算为6万元，完成预算60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，决算数小于预算数的主要原因是项目资金按进度拨付。</w:t>
      </w:r>
    </w:p>
    <w:p>
      <w:pPr>
        <w:spacing w:line="6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表，罗列全部功能分类科目至项级。上述“预算”口径为调整预算数。增减变动原因为决算数</w:t>
      </w:r>
      <w:r>
        <w:rPr>
          <w:rFonts w:ascii="仿宋" w:hAnsi="仿宋" w:eastAsia="仿宋"/>
          <w:b/>
          <w:color w:val="000000" w:themeColor="text1"/>
          <w:sz w:val="32"/>
          <w:szCs w:val="32"/>
          <w14:textFill>
            <w14:solidFill>
              <w14:schemeClr w14:val="tx1"/>
            </w14:solidFill>
          </w14:textFill>
        </w:rPr>
        <w:t>&lt;</w:t>
      </w:r>
      <w:r>
        <w:rPr>
          <w:rFonts w:hint="eastAsia" w:ascii="仿宋" w:hAnsi="仿宋" w:eastAsia="仿宋"/>
          <w:b/>
          <w:color w:val="000000" w:themeColor="text1"/>
          <w:sz w:val="32"/>
          <w:szCs w:val="32"/>
          <w14:textFill>
            <w14:solidFill>
              <w14:schemeClr w14:val="tx1"/>
            </w14:solidFill>
          </w14:textFill>
        </w:rPr>
        <w:t>项级</w:t>
      </w:r>
      <w:r>
        <w:rPr>
          <w:rFonts w:ascii="仿宋" w:hAnsi="仿宋" w:eastAsia="仿宋"/>
          <w:b/>
          <w:color w:val="000000" w:themeColor="text1"/>
          <w:sz w:val="32"/>
          <w:szCs w:val="32"/>
          <w14:textFill>
            <w14:solidFill>
              <w14:schemeClr w14:val="tx1"/>
            </w14:solidFill>
          </w14:textFill>
        </w:rPr>
        <w:t>&gt;</w:t>
      </w:r>
      <w:r>
        <w:rPr>
          <w:rFonts w:hint="eastAsia" w:ascii="仿宋" w:hAnsi="仿宋" w:eastAsia="仿宋"/>
          <w:b/>
          <w:color w:val="000000" w:themeColor="text1"/>
          <w:sz w:val="32"/>
          <w:szCs w:val="32"/>
          <w14:textFill>
            <w14:solidFill>
              <w14:schemeClr w14:val="tx1"/>
            </w14:solidFill>
          </w14:textFill>
        </w:rPr>
        <w:t>和调整预算数</w:t>
      </w:r>
      <w:r>
        <w:rPr>
          <w:rFonts w:ascii="仿宋" w:hAnsi="仿宋" w:eastAsia="仿宋"/>
          <w:b/>
          <w:color w:val="000000" w:themeColor="text1"/>
          <w:sz w:val="32"/>
          <w:szCs w:val="32"/>
          <w14:textFill>
            <w14:solidFill>
              <w14:schemeClr w14:val="tx1"/>
            </w14:solidFill>
          </w14:textFill>
        </w:rPr>
        <w:t>&lt;</w:t>
      </w:r>
      <w:r>
        <w:rPr>
          <w:rFonts w:hint="eastAsia" w:ascii="仿宋" w:hAnsi="仿宋" w:eastAsia="仿宋"/>
          <w:b/>
          <w:color w:val="000000" w:themeColor="text1"/>
          <w:sz w:val="32"/>
          <w:szCs w:val="32"/>
          <w14:textFill>
            <w14:solidFill>
              <w14:schemeClr w14:val="tx1"/>
            </w14:solidFill>
          </w14:textFill>
        </w:rPr>
        <w:t>项级</w:t>
      </w:r>
      <w:r>
        <w:rPr>
          <w:rFonts w:ascii="仿宋" w:hAnsi="仿宋" w:eastAsia="仿宋"/>
          <w:b/>
          <w:color w:val="000000" w:themeColor="text1"/>
          <w:sz w:val="32"/>
          <w:szCs w:val="32"/>
          <w14:textFill>
            <w14:solidFill>
              <w14:schemeClr w14:val="tx1"/>
            </w14:solidFill>
          </w14:textFill>
        </w:rPr>
        <w:t>&gt;</w:t>
      </w:r>
      <w:r>
        <w:rPr>
          <w:rFonts w:hint="eastAsia" w:ascii="仿宋" w:hAnsi="仿宋" w:eastAsia="仿宋"/>
          <w:b/>
          <w:color w:val="000000" w:themeColor="text1"/>
          <w:sz w:val="32"/>
          <w:szCs w:val="32"/>
          <w14:textFill>
            <w14:solidFill>
              <w14:schemeClr w14:val="tx1"/>
            </w14:solidFill>
          </w14:textFill>
        </w:rPr>
        <w:t>比较，与预算数持平可以不写原因。）</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宋体" w:hAnsi="宋体"/>
          <w:color w:val="000000"/>
          <w:sz w:val="30"/>
          <w:szCs w:val="30"/>
        </w:rPr>
      </w:pPr>
      <w:r>
        <w:rPr>
          <w:rFonts w:ascii="宋体" w:hAnsi="宋体"/>
          <w:color w:val="000000"/>
          <w:sz w:val="30"/>
          <w:szCs w:val="30"/>
        </w:rPr>
        <w:t>201</w:t>
      </w:r>
      <w:r>
        <w:rPr>
          <w:rFonts w:hint="eastAsia" w:ascii="宋体" w:hAnsi="宋体"/>
          <w:color w:val="000000"/>
          <w:sz w:val="30"/>
          <w:szCs w:val="30"/>
        </w:rPr>
        <w:t>9年一般公共预算财政拨款基本支出2020.24万元，其中：</w:t>
      </w:r>
    </w:p>
    <w:p>
      <w:pPr>
        <w:spacing w:line="600" w:lineRule="exact"/>
        <w:ind w:firstLine="645"/>
        <w:rPr>
          <w:rFonts w:ascii="宋体" w:hAnsi="宋体"/>
          <w:color w:val="000000"/>
          <w:sz w:val="30"/>
          <w:szCs w:val="30"/>
        </w:rPr>
      </w:pPr>
      <w:r>
        <w:rPr>
          <w:rFonts w:hint="eastAsia" w:ascii="宋体" w:hAnsi="宋体"/>
          <w:color w:val="000000"/>
          <w:sz w:val="30"/>
          <w:szCs w:val="30"/>
        </w:rPr>
        <w:t>人员经费1167.29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宋体" w:hAnsi="宋体"/>
          <w:color w:val="000000"/>
          <w:sz w:val="30"/>
          <w:szCs w:val="30"/>
        </w:rPr>
        <w:br w:type="textWrapping"/>
      </w:r>
      <w:r>
        <w:rPr>
          <w:rFonts w:hint="eastAsia" w:ascii="宋体" w:hAnsi="宋体"/>
          <w:color w:val="000000"/>
          <w:sz w:val="30"/>
          <w:szCs w:val="30"/>
        </w:rPr>
        <w:t>　　日常公用经费852.95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宋体" w:hAnsi="宋体"/>
          <w:color w:val="000000"/>
          <w:sz w:val="30"/>
          <w:szCs w:val="30"/>
        </w:rPr>
      </w:pPr>
      <w:r>
        <w:rPr>
          <w:rFonts w:ascii="宋体" w:hAnsi="宋体"/>
          <w:color w:val="000000"/>
          <w:sz w:val="30"/>
          <w:szCs w:val="30"/>
        </w:rPr>
        <w:t>201</w:t>
      </w:r>
      <w:r>
        <w:rPr>
          <w:rFonts w:hint="eastAsia" w:ascii="宋体" w:hAnsi="宋体"/>
          <w:color w:val="000000"/>
          <w:sz w:val="30"/>
          <w:szCs w:val="30"/>
        </w:rPr>
        <w:t>9年“三公”经费财政拨款支出决算为18.67万元，完成</w:t>
      </w:r>
      <w:r>
        <w:rPr>
          <w:rFonts w:hint="eastAsia" w:ascii="宋体" w:hAnsi="宋体"/>
          <w:color w:val="000000" w:themeColor="text1"/>
          <w:sz w:val="30"/>
          <w:szCs w:val="30"/>
          <w14:textFill>
            <w14:solidFill>
              <w14:schemeClr w14:val="tx1"/>
            </w14:solidFill>
          </w14:textFill>
        </w:rPr>
        <w:t>预算89</w:t>
      </w:r>
      <w:r>
        <w:rPr>
          <w:rFonts w:ascii="宋体" w:hAnsi="宋体"/>
          <w:color w:val="000000" w:themeColor="text1"/>
          <w:sz w:val="30"/>
          <w:szCs w:val="30"/>
          <w14:textFill>
            <w14:solidFill>
              <w14:schemeClr w14:val="tx1"/>
            </w14:solidFill>
          </w14:textFill>
        </w:rPr>
        <w:t>%</w:t>
      </w:r>
      <w:r>
        <w:rPr>
          <w:rFonts w:hint="eastAsia" w:ascii="宋体" w:hAnsi="宋体"/>
          <w:color w:val="000000"/>
          <w:sz w:val="30"/>
          <w:szCs w:val="30"/>
        </w:rPr>
        <w:t>，决算数小于预算数（或与预算数持平）的主要原因是按照规定厉行节约，压减机关公用经费。</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ind w:firstLine="641"/>
        <w:rPr>
          <w:rFonts w:ascii="宋体" w:hAnsi="宋体"/>
          <w:color w:val="000000"/>
          <w:sz w:val="30"/>
          <w:szCs w:val="30"/>
        </w:rPr>
      </w:pPr>
      <w:r>
        <w:rPr>
          <w:rFonts w:ascii="宋体" w:hAnsi="宋体"/>
          <w:color w:val="000000"/>
          <w:sz w:val="30"/>
          <w:szCs w:val="30"/>
        </w:rPr>
        <w:t>201</w:t>
      </w:r>
      <w:r>
        <w:rPr>
          <w:rFonts w:hint="eastAsia" w:ascii="宋体" w:hAnsi="宋体"/>
          <w:color w:val="000000"/>
          <w:sz w:val="30"/>
          <w:szCs w:val="30"/>
        </w:rPr>
        <w:t>9年“三公”经费财政拨款支出决算中，因公出国（境）费支出决算0万元，占0</w:t>
      </w:r>
      <w:r>
        <w:rPr>
          <w:rFonts w:ascii="宋体" w:hAnsi="宋体"/>
          <w:color w:val="000000"/>
          <w:sz w:val="30"/>
          <w:szCs w:val="30"/>
        </w:rPr>
        <w:t>%</w:t>
      </w:r>
      <w:r>
        <w:rPr>
          <w:rFonts w:hint="eastAsia" w:ascii="宋体" w:hAnsi="宋体"/>
          <w:color w:val="000000"/>
          <w:sz w:val="30"/>
          <w:szCs w:val="30"/>
        </w:rPr>
        <w:t>；公务用车购置及运行维护费支出决算13.37万元，占72</w:t>
      </w:r>
      <w:r>
        <w:rPr>
          <w:rFonts w:ascii="宋体" w:hAnsi="宋体"/>
          <w:color w:val="000000"/>
          <w:sz w:val="30"/>
          <w:szCs w:val="30"/>
        </w:rPr>
        <w:t>%</w:t>
      </w:r>
      <w:r>
        <w:rPr>
          <w:rFonts w:hint="eastAsia" w:ascii="宋体" w:hAnsi="宋体"/>
          <w:color w:val="000000"/>
          <w:sz w:val="30"/>
          <w:szCs w:val="30"/>
        </w:rPr>
        <w:t>；公务接待费支出决算5.30万元，占28</w:t>
      </w:r>
      <w:r>
        <w:rPr>
          <w:rFonts w:ascii="宋体" w:hAnsi="宋体"/>
          <w:color w:val="000000"/>
          <w:sz w:val="30"/>
          <w:szCs w:val="30"/>
        </w:rPr>
        <w:t>%</w:t>
      </w:r>
      <w:r>
        <w:rPr>
          <w:rFonts w:hint="eastAsia" w:ascii="宋体" w:hAnsi="宋体"/>
          <w:color w:val="000000"/>
          <w:sz w:val="30"/>
          <w:szCs w:val="30"/>
        </w:rPr>
        <w:t>。具体情况如下：</w:t>
      </w:r>
    </w:p>
    <w:p>
      <w:pPr>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（图7：“三公”经费财政拨款支出结构）（饼状图）</w:t>
      </w:r>
    </w:p>
    <w:p>
      <w:pPr>
        <w:ind w:firstLine="640"/>
        <w:rPr>
          <w:rFonts w:ascii="仿宋" w:hAnsi="仿宋" w:eastAsia="仿宋"/>
          <w:color w:val="FF0000"/>
          <w:sz w:val="32"/>
          <w:szCs w:val="32"/>
        </w:rPr>
      </w:pPr>
      <w:r>
        <w:rPr>
          <w:rFonts w:ascii="仿宋" w:hAnsi="仿宋" w:eastAsia="仿宋"/>
          <w:color w:val="FF0000"/>
          <w:sz w:val="32"/>
          <w:szCs w:val="32"/>
        </w:rPr>
        <w:drawing>
          <wp:inline distT="0" distB="0" distL="0" distR="0">
            <wp:extent cx="4544695" cy="3076575"/>
            <wp:effectExtent l="19050" t="0" r="27001" b="89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rPr>
          <w:rFonts w:ascii="宋体" w:hAnsi="宋体"/>
          <w:b/>
          <w:color w:val="000000"/>
          <w:sz w:val="30"/>
          <w:szCs w:val="30"/>
        </w:rPr>
      </w:pPr>
      <w:r>
        <w:rPr>
          <w:rFonts w:ascii="宋体" w:hAnsi="宋体"/>
          <w:b/>
          <w:color w:val="000000"/>
          <w:sz w:val="30"/>
          <w:szCs w:val="30"/>
        </w:rPr>
        <w:t>1.</w:t>
      </w:r>
      <w:r>
        <w:rPr>
          <w:rFonts w:hint="eastAsia" w:ascii="宋体" w:hAnsi="宋体"/>
          <w:b/>
          <w:color w:val="000000"/>
          <w:sz w:val="30"/>
          <w:szCs w:val="30"/>
        </w:rPr>
        <w:t>因公出国（境）经费支出</w:t>
      </w:r>
      <w:r>
        <w:rPr>
          <w:rFonts w:hint="eastAsia" w:ascii="宋体" w:hAnsi="宋体"/>
          <w:color w:val="000000"/>
          <w:sz w:val="30"/>
          <w:szCs w:val="30"/>
        </w:rPr>
        <w:t>0万元，</w:t>
      </w:r>
      <w:r>
        <w:rPr>
          <w:rStyle w:val="14"/>
          <w:rFonts w:hint="eastAsia" w:ascii="宋体" w:hAnsi="宋体"/>
          <w:b w:val="0"/>
          <w:bCs/>
          <w:color w:val="000000"/>
          <w:sz w:val="30"/>
          <w:szCs w:val="30"/>
        </w:rPr>
        <w:t>完成预算0</w:t>
      </w:r>
      <w:r>
        <w:rPr>
          <w:rStyle w:val="14"/>
          <w:rFonts w:ascii="宋体" w:hAnsi="宋体"/>
          <w:b w:val="0"/>
          <w:bCs/>
          <w:color w:val="000000"/>
          <w:sz w:val="30"/>
          <w:szCs w:val="30"/>
        </w:rPr>
        <w:t>%</w:t>
      </w:r>
      <w:r>
        <w:rPr>
          <w:rStyle w:val="14"/>
          <w:rFonts w:hint="eastAsia" w:ascii="宋体" w:hAnsi="宋体"/>
          <w:b w:val="0"/>
          <w:bCs/>
          <w:color w:val="000000"/>
          <w:sz w:val="30"/>
          <w:szCs w:val="30"/>
        </w:rPr>
        <w:t>。</w:t>
      </w:r>
      <w:r>
        <w:rPr>
          <w:rFonts w:hint="eastAsia" w:ascii="宋体" w:hAnsi="宋体"/>
          <w:color w:val="000000"/>
          <w:sz w:val="30"/>
          <w:szCs w:val="30"/>
        </w:rPr>
        <w:t>全年安排因公出国（境）团组0次，出国（境）0人。因公出国（境）支出决算比</w:t>
      </w:r>
      <w:r>
        <w:rPr>
          <w:rFonts w:ascii="宋体" w:hAnsi="宋体"/>
          <w:color w:val="000000"/>
          <w:sz w:val="30"/>
          <w:szCs w:val="30"/>
        </w:rPr>
        <w:t>201</w:t>
      </w:r>
      <w:r>
        <w:rPr>
          <w:rFonts w:hint="eastAsia" w:ascii="宋体" w:hAnsi="宋体"/>
          <w:color w:val="000000"/>
          <w:sz w:val="30"/>
          <w:szCs w:val="30"/>
        </w:rPr>
        <w:t>8年增加</w:t>
      </w:r>
      <w:r>
        <w:rPr>
          <w:rFonts w:ascii="宋体" w:hAnsi="宋体"/>
          <w:color w:val="000000"/>
          <w:sz w:val="30"/>
          <w:szCs w:val="30"/>
        </w:rPr>
        <w:t>/</w:t>
      </w:r>
      <w:r>
        <w:rPr>
          <w:rFonts w:hint="eastAsia" w:ascii="宋体" w:hAnsi="宋体"/>
          <w:color w:val="000000"/>
          <w:sz w:val="30"/>
          <w:szCs w:val="30"/>
        </w:rPr>
        <w:t>减少0万元，增长</w:t>
      </w:r>
      <w:r>
        <w:rPr>
          <w:rFonts w:ascii="宋体" w:hAnsi="宋体"/>
          <w:color w:val="000000"/>
          <w:sz w:val="30"/>
          <w:szCs w:val="30"/>
        </w:rPr>
        <w:t>/</w:t>
      </w:r>
      <w:r>
        <w:rPr>
          <w:rFonts w:hint="eastAsia" w:ascii="宋体" w:hAnsi="宋体"/>
          <w:color w:val="000000"/>
          <w:sz w:val="30"/>
          <w:szCs w:val="30"/>
        </w:rPr>
        <w:t>下降0</w:t>
      </w:r>
      <w:r>
        <w:rPr>
          <w:rFonts w:ascii="宋体" w:hAnsi="宋体"/>
          <w:color w:val="000000"/>
          <w:sz w:val="30"/>
          <w:szCs w:val="30"/>
        </w:rPr>
        <w:t>%</w:t>
      </w:r>
      <w:r>
        <w:rPr>
          <w:rFonts w:hint="eastAsia" w:ascii="宋体" w:hAnsi="宋体"/>
          <w:color w:val="000000"/>
          <w:sz w:val="30"/>
          <w:szCs w:val="30"/>
        </w:rPr>
        <w:t>。主要原因是2019年无此项支出。</w:t>
      </w:r>
    </w:p>
    <w:p>
      <w:pPr>
        <w:spacing w:line="600" w:lineRule="exact"/>
        <w:ind w:firstLine="640"/>
        <w:rPr>
          <w:rFonts w:ascii="宋体" w:hAnsi="宋体"/>
          <w:color w:val="000000"/>
          <w:sz w:val="30"/>
          <w:szCs w:val="30"/>
        </w:rPr>
      </w:pPr>
      <w:r>
        <w:rPr>
          <w:rFonts w:hint="eastAsia" w:ascii="宋体" w:hAnsi="宋体"/>
          <w:color w:val="000000"/>
          <w:sz w:val="30"/>
          <w:szCs w:val="30"/>
        </w:rPr>
        <w:t>开支内容包括：无（团组名称、出访地点、取得成效）</w:t>
      </w:r>
    </w:p>
    <w:p>
      <w:pPr>
        <w:spacing w:line="600" w:lineRule="exact"/>
        <w:ind w:firstLine="640"/>
        <w:rPr>
          <w:rFonts w:ascii="宋体" w:hAnsi="宋体"/>
          <w:b/>
          <w:color w:val="000000"/>
          <w:sz w:val="30"/>
          <w:szCs w:val="30"/>
        </w:rPr>
      </w:pPr>
      <w:r>
        <w:rPr>
          <w:rFonts w:ascii="宋体" w:hAnsi="宋体"/>
          <w:b/>
          <w:color w:val="000000"/>
          <w:sz w:val="30"/>
          <w:szCs w:val="30"/>
        </w:rPr>
        <w:t>2.</w:t>
      </w:r>
      <w:r>
        <w:rPr>
          <w:rFonts w:hint="eastAsia" w:ascii="宋体" w:hAnsi="宋体"/>
          <w:b/>
          <w:color w:val="000000"/>
          <w:sz w:val="30"/>
          <w:szCs w:val="30"/>
        </w:rPr>
        <w:t xml:space="preserve">公务用车购置及运行维护费支出 </w:t>
      </w:r>
      <w:r>
        <w:rPr>
          <w:rFonts w:hint="eastAsia" w:ascii="宋体" w:hAnsi="宋体"/>
          <w:color w:val="000000"/>
          <w:sz w:val="30"/>
          <w:szCs w:val="30"/>
        </w:rPr>
        <w:t>无公务用车购置费，公务用车运行维护费支出13.37万元,</w:t>
      </w:r>
      <w:r>
        <w:rPr>
          <w:rStyle w:val="14"/>
          <w:rFonts w:hint="eastAsia" w:ascii="宋体" w:hAnsi="宋体"/>
          <w:b w:val="0"/>
          <w:bCs/>
          <w:color w:val="000000"/>
          <w:sz w:val="30"/>
          <w:szCs w:val="30"/>
        </w:rPr>
        <w:t>完成预算90</w:t>
      </w:r>
      <w:r>
        <w:rPr>
          <w:rStyle w:val="14"/>
          <w:rFonts w:ascii="宋体" w:hAnsi="宋体"/>
          <w:b w:val="0"/>
          <w:bCs/>
          <w:color w:val="000000"/>
          <w:sz w:val="30"/>
          <w:szCs w:val="30"/>
        </w:rPr>
        <w:t>%</w:t>
      </w:r>
      <w:r>
        <w:rPr>
          <w:rStyle w:val="14"/>
          <w:rFonts w:hint="eastAsia" w:ascii="宋体" w:hAnsi="宋体"/>
          <w:b w:val="0"/>
          <w:bCs/>
          <w:color w:val="000000"/>
          <w:sz w:val="30"/>
          <w:szCs w:val="30"/>
        </w:rPr>
        <w:t>。</w:t>
      </w:r>
      <w:r>
        <w:rPr>
          <w:rFonts w:hint="eastAsia" w:ascii="宋体" w:hAnsi="宋体"/>
          <w:color w:val="000000"/>
          <w:sz w:val="30"/>
          <w:szCs w:val="30"/>
        </w:rPr>
        <w:t>公务用车购置及运行维护费支出决算比</w:t>
      </w:r>
      <w:r>
        <w:rPr>
          <w:rFonts w:ascii="宋体" w:hAnsi="宋体"/>
          <w:color w:val="000000"/>
          <w:sz w:val="30"/>
          <w:szCs w:val="30"/>
        </w:rPr>
        <w:t>201</w:t>
      </w:r>
      <w:r>
        <w:rPr>
          <w:rFonts w:hint="eastAsia" w:ascii="宋体" w:hAnsi="宋体"/>
          <w:color w:val="000000"/>
          <w:sz w:val="30"/>
          <w:szCs w:val="30"/>
        </w:rPr>
        <w:t>8年增加2.44万元，增长22</w:t>
      </w:r>
      <w:r>
        <w:rPr>
          <w:rFonts w:ascii="宋体" w:hAnsi="宋体"/>
          <w:color w:val="000000"/>
          <w:sz w:val="30"/>
          <w:szCs w:val="30"/>
        </w:rPr>
        <w:t>%</w:t>
      </w:r>
      <w:r>
        <w:rPr>
          <w:rFonts w:hint="eastAsia" w:ascii="宋体" w:hAnsi="宋体"/>
          <w:color w:val="000000"/>
          <w:sz w:val="30"/>
          <w:szCs w:val="30"/>
        </w:rPr>
        <w:t>。主要原因是机改原因。</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其中：</w:t>
      </w:r>
      <w:r>
        <w:rPr>
          <w:rFonts w:hint="eastAsia" w:ascii="宋体" w:hAnsi="宋体"/>
          <w:b/>
          <w:color w:val="000000"/>
          <w:sz w:val="30"/>
          <w:szCs w:val="30"/>
        </w:rPr>
        <w:t>公务用车购置支出</w:t>
      </w:r>
      <w:r>
        <w:rPr>
          <w:rFonts w:hint="eastAsia" w:ascii="宋体" w:hAnsi="宋体"/>
          <w:color w:val="000000"/>
          <w:sz w:val="30"/>
          <w:szCs w:val="30"/>
        </w:rPr>
        <w:t>0万元。全年按规定更新购置公务用车0辆，金额0</w:t>
      </w:r>
      <w:r>
        <w:rPr>
          <w:rFonts w:ascii="宋体" w:hAnsi="宋体"/>
          <w:color w:val="000000"/>
          <w:sz w:val="30"/>
          <w:szCs w:val="30"/>
        </w:rPr>
        <w:t>元。</w:t>
      </w:r>
      <w:r>
        <w:rPr>
          <w:rFonts w:hint="eastAsia" w:ascii="宋体" w:hAnsi="宋体"/>
          <w:color w:val="000000"/>
          <w:sz w:val="30"/>
          <w:szCs w:val="30"/>
        </w:rPr>
        <w:t>截至</w:t>
      </w:r>
      <w:r>
        <w:rPr>
          <w:rFonts w:ascii="宋体" w:hAnsi="宋体"/>
          <w:color w:val="000000"/>
          <w:sz w:val="30"/>
          <w:szCs w:val="30"/>
        </w:rPr>
        <w:t>201</w:t>
      </w:r>
      <w:r>
        <w:rPr>
          <w:rFonts w:hint="eastAsia" w:ascii="宋体" w:hAnsi="宋体"/>
          <w:color w:val="000000"/>
          <w:sz w:val="30"/>
          <w:szCs w:val="30"/>
        </w:rPr>
        <w:t>9年</w:t>
      </w:r>
      <w:r>
        <w:rPr>
          <w:rFonts w:ascii="宋体" w:hAnsi="宋体"/>
          <w:color w:val="000000"/>
          <w:sz w:val="30"/>
          <w:szCs w:val="30"/>
        </w:rPr>
        <w:t>12</w:t>
      </w:r>
      <w:r>
        <w:rPr>
          <w:rFonts w:hint="eastAsia" w:ascii="宋体" w:hAnsi="宋体"/>
          <w:color w:val="000000"/>
          <w:sz w:val="30"/>
          <w:szCs w:val="30"/>
        </w:rPr>
        <w:t>月底，单位共有公务用车5辆，其中：主要领导干部用车0辆、机要通信用车0辆、应急保障用车0辆、 执法执勤用车0辆，其他公务用车5辆。</w:t>
      </w:r>
    </w:p>
    <w:p>
      <w:pPr>
        <w:spacing w:line="600" w:lineRule="exact"/>
        <w:ind w:firstLine="640"/>
        <w:rPr>
          <w:rFonts w:ascii="宋体" w:hAnsi="宋体"/>
          <w:color w:val="000000"/>
          <w:sz w:val="30"/>
          <w:szCs w:val="30"/>
        </w:rPr>
      </w:pPr>
      <w:r>
        <w:rPr>
          <w:rFonts w:hint="eastAsia" w:ascii="宋体" w:hAnsi="宋体"/>
          <w:b/>
          <w:color w:val="000000"/>
          <w:sz w:val="30"/>
          <w:szCs w:val="30"/>
        </w:rPr>
        <w:t>公务用车运行维护费支出</w:t>
      </w:r>
      <w:r>
        <w:rPr>
          <w:rFonts w:hint="eastAsia" w:ascii="宋体" w:hAnsi="宋体"/>
          <w:color w:val="000000"/>
          <w:sz w:val="30"/>
          <w:szCs w:val="30"/>
        </w:rPr>
        <w:t>13.37万元。主要用于保障机关发展和改革事务方面（具体工作）等所需的公务用车燃料费、维修费、过路过桥费、保险费等支出。</w:t>
      </w:r>
    </w:p>
    <w:p>
      <w:pPr>
        <w:spacing w:line="600" w:lineRule="exact"/>
        <w:ind w:firstLine="640"/>
        <w:rPr>
          <w:rFonts w:ascii="宋体" w:hAnsi="宋体"/>
          <w:color w:val="000000"/>
          <w:sz w:val="30"/>
          <w:szCs w:val="30"/>
        </w:rPr>
      </w:pPr>
      <w:r>
        <w:rPr>
          <w:rFonts w:ascii="宋体" w:hAnsi="宋体"/>
          <w:b/>
          <w:color w:val="000000"/>
          <w:sz w:val="30"/>
          <w:szCs w:val="30"/>
        </w:rPr>
        <w:t>3.</w:t>
      </w:r>
      <w:r>
        <w:rPr>
          <w:rFonts w:hint="eastAsia" w:ascii="宋体" w:hAnsi="宋体"/>
          <w:b/>
          <w:color w:val="000000"/>
          <w:sz w:val="30"/>
          <w:szCs w:val="30"/>
        </w:rPr>
        <w:t>公务接待费支出</w:t>
      </w:r>
      <w:r>
        <w:rPr>
          <w:rFonts w:hint="eastAsia" w:ascii="宋体" w:hAnsi="宋体"/>
          <w:color w:val="000000"/>
          <w:sz w:val="30"/>
          <w:szCs w:val="30"/>
        </w:rPr>
        <w:t>5.30万元，</w:t>
      </w:r>
      <w:r>
        <w:rPr>
          <w:rStyle w:val="14"/>
          <w:rFonts w:hint="eastAsia" w:ascii="宋体" w:hAnsi="宋体"/>
          <w:b w:val="0"/>
          <w:bCs/>
          <w:color w:val="000000"/>
          <w:sz w:val="30"/>
          <w:szCs w:val="30"/>
        </w:rPr>
        <w:t>完成预算88</w:t>
      </w:r>
      <w:r>
        <w:rPr>
          <w:rStyle w:val="14"/>
          <w:rFonts w:ascii="宋体" w:hAnsi="宋体"/>
          <w:b w:val="0"/>
          <w:bCs/>
          <w:color w:val="000000"/>
          <w:sz w:val="30"/>
          <w:szCs w:val="30"/>
        </w:rPr>
        <w:t>%</w:t>
      </w:r>
      <w:r>
        <w:rPr>
          <w:rStyle w:val="14"/>
          <w:rFonts w:hint="eastAsia" w:ascii="宋体" w:hAnsi="宋体"/>
          <w:b w:val="0"/>
          <w:bCs/>
          <w:color w:val="000000"/>
          <w:sz w:val="30"/>
          <w:szCs w:val="30"/>
        </w:rPr>
        <w:t>。</w:t>
      </w:r>
      <w:r>
        <w:rPr>
          <w:rFonts w:hint="eastAsia" w:ascii="宋体" w:hAnsi="宋体"/>
          <w:color w:val="000000"/>
          <w:sz w:val="30"/>
          <w:szCs w:val="30"/>
        </w:rPr>
        <w:t>公务接待费支出决算比</w:t>
      </w:r>
      <w:r>
        <w:rPr>
          <w:rFonts w:ascii="宋体" w:hAnsi="宋体"/>
          <w:color w:val="000000"/>
          <w:sz w:val="30"/>
          <w:szCs w:val="30"/>
        </w:rPr>
        <w:t>201</w:t>
      </w:r>
      <w:r>
        <w:rPr>
          <w:rFonts w:hint="eastAsia" w:ascii="宋体" w:hAnsi="宋体"/>
          <w:color w:val="000000"/>
          <w:sz w:val="30"/>
          <w:szCs w:val="30"/>
        </w:rPr>
        <w:t>8年减少0.96万元，下降15</w:t>
      </w:r>
      <w:r>
        <w:rPr>
          <w:rFonts w:ascii="宋体" w:hAnsi="宋体"/>
          <w:color w:val="000000"/>
          <w:sz w:val="30"/>
          <w:szCs w:val="30"/>
        </w:rPr>
        <w:t>%</w:t>
      </w:r>
      <w:r>
        <w:rPr>
          <w:rFonts w:hint="eastAsia" w:ascii="宋体" w:hAnsi="宋体"/>
          <w:color w:val="000000"/>
          <w:sz w:val="30"/>
          <w:szCs w:val="30"/>
        </w:rPr>
        <w:t>。主要原因是厉行节约，其中：</w:t>
      </w:r>
    </w:p>
    <w:p>
      <w:pPr>
        <w:spacing w:line="600" w:lineRule="exact"/>
        <w:ind w:firstLine="640"/>
        <w:rPr>
          <w:rFonts w:ascii="宋体" w:hAnsi="宋体"/>
          <w:color w:val="C00000"/>
          <w:sz w:val="30"/>
          <w:szCs w:val="30"/>
        </w:rPr>
      </w:pPr>
      <w:r>
        <w:rPr>
          <w:rFonts w:hint="eastAsia" w:ascii="宋体" w:hAnsi="宋体"/>
          <w:b/>
          <w:color w:val="000000"/>
          <w:sz w:val="30"/>
          <w:szCs w:val="30"/>
        </w:rPr>
        <w:t>国内公务接待支出</w:t>
      </w:r>
      <w:r>
        <w:rPr>
          <w:rFonts w:hint="eastAsia" w:ascii="宋体" w:hAnsi="宋体"/>
          <w:color w:val="000000" w:themeColor="text1"/>
          <w:sz w:val="30"/>
          <w:szCs w:val="30"/>
          <w14:textFill>
            <w14:solidFill>
              <w14:schemeClr w14:val="tx1"/>
            </w14:solidFill>
          </w14:textFill>
        </w:rPr>
        <w:t>5.30万元，主要用于发展和改革事务等的国内公务接待(执行公务、开展业务活动开支的交通费、住宿费、用餐费等)。国内公务接待32批次，527人次（不包括陪同人员），共计支出5.30万元，具体内容包括：国家、省、德阳调研发展与改革事务等方面公务接待费。</w:t>
      </w:r>
    </w:p>
    <w:p>
      <w:pPr>
        <w:spacing w:line="600" w:lineRule="exact"/>
        <w:ind w:firstLine="602" w:firstLineChars="200"/>
        <w:rPr>
          <w:rFonts w:ascii="宋体" w:hAnsi="宋体"/>
          <w:color w:val="000000" w:themeColor="text1"/>
          <w:sz w:val="30"/>
          <w:szCs w:val="30"/>
          <w14:textFill>
            <w14:solidFill>
              <w14:schemeClr w14:val="tx1"/>
            </w14:solidFill>
          </w14:textFill>
        </w:rPr>
      </w:pPr>
      <w:r>
        <w:rPr>
          <w:rFonts w:hint="eastAsia" w:ascii="宋体" w:hAnsi="宋体"/>
          <w:b/>
          <w:color w:val="000000"/>
          <w:sz w:val="30"/>
          <w:szCs w:val="30"/>
        </w:rPr>
        <w:t>外事接待支出</w:t>
      </w:r>
      <w:r>
        <w:rPr>
          <w:rFonts w:hint="eastAsia" w:ascii="宋体" w:hAnsi="宋体"/>
          <w:color w:val="000000"/>
          <w:sz w:val="30"/>
          <w:szCs w:val="30"/>
        </w:rPr>
        <w:t>0万元</w:t>
      </w:r>
      <w:r>
        <w:rPr>
          <w:rFonts w:hint="eastAsia" w:ascii="宋体" w:hAnsi="宋体"/>
          <w:color w:val="000000" w:themeColor="text1"/>
          <w:sz w:val="30"/>
          <w:szCs w:val="30"/>
          <w14:textFill>
            <w14:solidFill>
              <w14:schemeClr w14:val="tx1"/>
            </w14:solidFill>
          </w14:textFill>
        </w:rPr>
        <w:t>，外事接待0批次，0人，共计支出0万元，主要无外事接待支出（具体项目）。</w:t>
      </w:r>
      <w:bookmarkStart w:id="46" w:name="_Toc15396610"/>
      <w:bookmarkStart w:id="47" w:name="_Toc15377218"/>
    </w:p>
    <w:p>
      <w:pPr>
        <w:spacing w:line="600" w:lineRule="exact"/>
        <w:ind w:firstLine="640"/>
        <w:outlineLvl w:val="1"/>
        <w:rPr>
          <w:rStyle w:val="25"/>
          <w:rFonts w:ascii="宋体" w:hAnsi="宋体" w:eastAsia="宋体"/>
          <w:b w:val="0"/>
          <w:sz w:val="30"/>
          <w:szCs w:val="30"/>
        </w:rPr>
      </w:pPr>
      <w:r>
        <w:rPr>
          <w:rFonts w:hint="eastAsia" w:ascii="宋体" w:hAnsi="宋体"/>
          <w:b/>
          <w:color w:val="000000"/>
          <w:sz w:val="30"/>
          <w:szCs w:val="30"/>
        </w:rPr>
        <w:t>八</w:t>
      </w:r>
      <w:r>
        <w:rPr>
          <w:rFonts w:hint="eastAsia" w:ascii="宋体" w:hAnsi="宋体"/>
          <w:color w:val="000000"/>
          <w:sz w:val="30"/>
          <w:szCs w:val="30"/>
        </w:rPr>
        <w:t>、</w:t>
      </w:r>
      <w:r>
        <w:rPr>
          <w:rStyle w:val="25"/>
          <w:rFonts w:hint="eastAsia" w:ascii="宋体" w:hAnsi="宋体" w:eastAsia="宋体"/>
          <w:sz w:val="30"/>
          <w:szCs w:val="30"/>
        </w:rPr>
        <w:t>政府性基金预算支出决算情况说明</w:t>
      </w:r>
      <w:bookmarkEnd w:id="46"/>
      <w:bookmarkEnd w:id="47"/>
    </w:p>
    <w:p>
      <w:pPr>
        <w:spacing w:line="600" w:lineRule="exact"/>
        <w:ind w:firstLine="640"/>
        <w:rPr>
          <w:rFonts w:ascii="宋体" w:hAnsi="宋体"/>
          <w:color w:val="000000"/>
          <w:sz w:val="30"/>
          <w:szCs w:val="30"/>
        </w:rPr>
      </w:pPr>
      <w:r>
        <w:rPr>
          <w:rFonts w:ascii="宋体" w:hAnsi="宋体"/>
          <w:color w:val="000000"/>
          <w:sz w:val="30"/>
          <w:szCs w:val="30"/>
        </w:rPr>
        <w:t>201</w:t>
      </w:r>
      <w:r>
        <w:rPr>
          <w:rFonts w:hint="eastAsia" w:ascii="宋体" w:hAnsi="宋体"/>
          <w:color w:val="000000"/>
          <w:sz w:val="30"/>
          <w:szCs w:val="30"/>
        </w:rPr>
        <w:t>9年政府性基金预算拨款支出0万元。</w:t>
      </w:r>
    </w:p>
    <w:p>
      <w:pPr>
        <w:numPr>
          <w:ilvl w:val="0"/>
          <w:numId w:val="2"/>
        </w:numPr>
        <w:spacing w:line="600" w:lineRule="exact"/>
        <w:ind w:firstLine="640"/>
        <w:outlineLvl w:val="1"/>
        <w:rPr>
          <w:rStyle w:val="25"/>
          <w:rFonts w:ascii="宋体" w:hAnsi="宋体" w:eastAsia="宋体"/>
          <w:sz w:val="30"/>
          <w:szCs w:val="30"/>
        </w:rPr>
      </w:pPr>
      <w:bookmarkStart w:id="48" w:name="_Toc15396611"/>
      <w:bookmarkStart w:id="49" w:name="_Toc15377219"/>
      <w:r>
        <w:rPr>
          <w:rStyle w:val="25"/>
          <w:rFonts w:hint="eastAsia" w:ascii="宋体" w:hAnsi="宋体" w:eastAsia="宋体"/>
          <w:sz w:val="30"/>
          <w:szCs w:val="30"/>
        </w:rPr>
        <w:t>国有资本经营预算支出决算情况说明</w:t>
      </w:r>
      <w:bookmarkEnd w:id="48"/>
      <w:bookmarkEnd w:id="49"/>
    </w:p>
    <w:p>
      <w:pPr>
        <w:spacing w:line="600" w:lineRule="exact"/>
        <w:ind w:firstLine="640"/>
        <w:rPr>
          <w:rFonts w:ascii="宋体" w:hAnsi="宋体"/>
          <w:color w:val="000000"/>
          <w:sz w:val="30"/>
          <w:szCs w:val="30"/>
        </w:rPr>
      </w:pPr>
      <w:r>
        <w:rPr>
          <w:rFonts w:ascii="宋体" w:hAnsi="宋体"/>
          <w:color w:val="000000"/>
          <w:sz w:val="30"/>
          <w:szCs w:val="30"/>
        </w:rPr>
        <w:t>201</w:t>
      </w:r>
      <w:r>
        <w:rPr>
          <w:rFonts w:hint="eastAsia" w:ascii="宋体" w:hAnsi="宋体"/>
          <w:color w:val="000000"/>
          <w:sz w:val="30"/>
          <w:szCs w:val="30"/>
        </w:rPr>
        <w:t>9年国有资本经营预算拨款支出0万元。</w:t>
      </w:r>
    </w:p>
    <w:p>
      <w:pPr>
        <w:spacing w:line="600" w:lineRule="exact"/>
        <w:ind w:firstLine="600" w:firstLineChars="200"/>
        <w:outlineLvl w:val="1"/>
        <w:rPr>
          <w:rStyle w:val="25"/>
          <w:rFonts w:ascii="宋体" w:hAnsi="宋体" w:eastAsia="宋体"/>
          <w:sz w:val="30"/>
          <w:szCs w:val="30"/>
        </w:rPr>
      </w:pPr>
      <w:bookmarkStart w:id="50" w:name="_Toc15377221"/>
      <w:bookmarkStart w:id="51" w:name="_Toc15396612"/>
      <w:r>
        <w:rPr>
          <w:rFonts w:hint="eastAsia" w:ascii="宋体" w:hAnsi="宋体"/>
          <w:color w:val="000000"/>
          <w:sz w:val="30"/>
          <w:szCs w:val="30"/>
        </w:rPr>
        <w:t>十</w:t>
      </w:r>
      <w:r>
        <w:rPr>
          <w:rStyle w:val="25"/>
          <w:rFonts w:hint="eastAsia" w:ascii="宋体" w:hAnsi="宋体" w:eastAsia="宋体"/>
          <w:sz w:val="30"/>
          <w:szCs w:val="30"/>
        </w:rPr>
        <w:t>、</w:t>
      </w:r>
      <w:r>
        <w:rPr>
          <w:rStyle w:val="25"/>
          <w:rFonts w:hint="eastAsia" w:ascii="宋体" w:hAnsi="宋体" w:eastAsia="宋体"/>
          <w:b w:val="0"/>
          <w:sz w:val="30"/>
          <w:szCs w:val="30"/>
        </w:rPr>
        <w:t>其他重要事项的情况说明</w:t>
      </w:r>
      <w:bookmarkEnd w:id="50"/>
      <w:bookmarkEnd w:id="51"/>
    </w:p>
    <w:p>
      <w:pPr>
        <w:spacing w:line="600" w:lineRule="exact"/>
        <w:ind w:firstLine="452" w:firstLineChars="150"/>
        <w:outlineLvl w:val="2"/>
        <w:rPr>
          <w:rFonts w:ascii="宋体" w:hAnsi="宋体"/>
          <w:color w:val="000000"/>
          <w:sz w:val="30"/>
          <w:szCs w:val="30"/>
        </w:rPr>
      </w:pPr>
      <w:bookmarkStart w:id="52" w:name="_Toc15377222"/>
      <w:r>
        <w:rPr>
          <w:rFonts w:hint="eastAsia" w:ascii="宋体" w:hAnsi="宋体"/>
          <w:b/>
          <w:color w:val="000000"/>
          <w:sz w:val="30"/>
          <w:szCs w:val="30"/>
        </w:rPr>
        <w:t>（一）机关运行经费支出情况</w:t>
      </w:r>
      <w:bookmarkEnd w:id="52"/>
    </w:p>
    <w:p>
      <w:pPr>
        <w:spacing w:line="600" w:lineRule="exact"/>
        <w:ind w:firstLine="600" w:firstLineChars="200"/>
        <w:rPr>
          <w:rFonts w:ascii="宋体" w:hAnsi="宋体"/>
          <w:color w:val="000000" w:themeColor="text1"/>
          <w:sz w:val="30"/>
          <w:szCs w:val="30"/>
          <w14:textFill>
            <w14:solidFill>
              <w14:schemeClr w14:val="tx1"/>
            </w14:solidFill>
          </w14:textFill>
        </w:rPr>
      </w:pPr>
      <w:r>
        <w:rPr>
          <w:rFonts w:ascii="宋体" w:hAnsi="宋体"/>
          <w:color w:val="000000"/>
          <w:sz w:val="30"/>
          <w:szCs w:val="30"/>
        </w:rPr>
        <w:t>201</w:t>
      </w:r>
      <w:r>
        <w:rPr>
          <w:rFonts w:hint="eastAsia" w:ascii="宋体" w:hAnsi="宋体"/>
          <w:color w:val="000000"/>
          <w:sz w:val="30"/>
          <w:szCs w:val="30"/>
        </w:rPr>
        <w:t>9年，广汉市发改局机关运行经费支出852.95万元，比</w:t>
      </w:r>
      <w:r>
        <w:rPr>
          <w:rFonts w:ascii="宋体" w:hAnsi="宋体"/>
          <w:color w:val="000000"/>
          <w:sz w:val="30"/>
          <w:szCs w:val="30"/>
        </w:rPr>
        <w:t>201</w:t>
      </w:r>
      <w:r>
        <w:rPr>
          <w:rFonts w:hint="eastAsia" w:ascii="宋体" w:hAnsi="宋体"/>
          <w:color w:val="000000"/>
          <w:sz w:val="30"/>
          <w:szCs w:val="30"/>
        </w:rPr>
        <w:t>8年增加759.34万元，增长811</w:t>
      </w:r>
      <w:r>
        <w:rPr>
          <w:rFonts w:ascii="宋体" w:hAnsi="宋体"/>
          <w:color w:val="000000"/>
          <w:sz w:val="30"/>
          <w:szCs w:val="30"/>
        </w:rPr>
        <w:t>%</w:t>
      </w:r>
      <w:r>
        <w:rPr>
          <w:rFonts w:hint="eastAsia" w:ascii="宋体" w:hAnsi="宋体"/>
          <w:color w:val="000000"/>
          <w:sz w:val="30"/>
          <w:szCs w:val="30"/>
        </w:rPr>
        <w:t>（或与</w:t>
      </w:r>
      <w:r>
        <w:rPr>
          <w:rFonts w:ascii="宋体" w:hAnsi="宋体"/>
          <w:color w:val="000000"/>
          <w:sz w:val="30"/>
          <w:szCs w:val="30"/>
        </w:rPr>
        <w:t>201</w:t>
      </w:r>
      <w:r>
        <w:rPr>
          <w:rFonts w:hint="eastAsia" w:ascii="宋体" w:hAnsi="宋体"/>
          <w:color w:val="000000"/>
          <w:sz w:val="30"/>
          <w:szCs w:val="30"/>
        </w:rPr>
        <w:t>8年决算数持平）。增幅大的</w:t>
      </w:r>
      <w:r>
        <w:rPr>
          <w:rFonts w:hint="eastAsia" w:ascii="宋体" w:hAnsi="宋体"/>
          <w:color w:val="000000" w:themeColor="text1"/>
          <w:sz w:val="30"/>
          <w:szCs w:val="30"/>
          <w14:textFill>
            <w14:solidFill>
              <w14:schemeClr w14:val="tx1"/>
            </w14:solidFill>
          </w14:textFill>
        </w:rPr>
        <w:t>主要原因是2019年机改粮食局职能并入，财政追加行政运行类预算科目“其他对企业补助”696.94万元，按照预算科目分类计入机关运行经费中，以及财政下达机关运行及其他相关经费的增加。</w:t>
      </w:r>
    </w:p>
    <w:p>
      <w:pPr>
        <w:spacing w:line="600" w:lineRule="exact"/>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（注：数据来源于财决附</w:t>
      </w:r>
      <w:r>
        <w:rPr>
          <w:rFonts w:ascii="宋体" w:hAnsi="宋体"/>
          <w:b/>
          <w:color w:val="000000" w:themeColor="text1"/>
          <w:sz w:val="30"/>
          <w:szCs w:val="30"/>
          <w14:textFill>
            <w14:solidFill>
              <w14:schemeClr w14:val="tx1"/>
            </w14:solidFill>
          </w14:textFill>
        </w:rPr>
        <w:t>03</w:t>
      </w:r>
      <w:r>
        <w:rPr>
          <w:rFonts w:hint="eastAsia" w:ascii="宋体" w:hAnsi="宋体"/>
          <w:b/>
          <w:color w:val="000000" w:themeColor="text1"/>
          <w:sz w:val="30"/>
          <w:szCs w:val="30"/>
          <w14:textFill>
            <w14:solidFill>
              <w14:schemeClr w14:val="tx1"/>
            </w14:solidFill>
          </w14:textFill>
        </w:rPr>
        <w:t>表）</w:t>
      </w:r>
    </w:p>
    <w:p>
      <w:pPr>
        <w:autoSpaceDE w:val="0"/>
        <w:autoSpaceDN w:val="0"/>
        <w:adjustRightInd w:val="0"/>
        <w:spacing w:line="600" w:lineRule="exact"/>
        <w:ind w:firstLine="602" w:firstLineChars="200"/>
        <w:jc w:val="left"/>
        <w:outlineLvl w:val="2"/>
        <w:rPr>
          <w:rFonts w:ascii="宋体" w:hAnsi="宋体"/>
          <w:b/>
          <w:color w:val="000000"/>
          <w:sz w:val="30"/>
          <w:szCs w:val="30"/>
        </w:rPr>
      </w:pPr>
      <w:bookmarkStart w:id="53" w:name="_Toc15377223"/>
      <w:r>
        <w:rPr>
          <w:rFonts w:hint="eastAsia" w:ascii="宋体" w:hAnsi="宋体"/>
          <w:b/>
          <w:color w:val="000000"/>
          <w:sz w:val="30"/>
          <w:szCs w:val="30"/>
        </w:rPr>
        <w:t>（二）政府采购支出情况</w:t>
      </w:r>
      <w:bookmarkEnd w:id="53"/>
    </w:p>
    <w:p>
      <w:pPr>
        <w:spacing w:line="600" w:lineRule="exact"/>
        <w:ind w:firstLine="600" w:firstLineChars="200"/>
        <w:rPr>
          <w:rFonts w:ascii="宋体" w:hAnsi="宋体"/>
          <w:color w:val="000000"/>
          <w:sz w:val="30"/>
          <w:szCs w:val="30"/>
        </w:rPr>
      </w:pPr>
      <w:r>
        <w:rPr>
          <w:rFonts w:ascii="宋体" w:hAnsi="宋体"/>
          <w:color w:val="000000"/>
          <w:sz w:val="30"/>
          <w:szCs w:val="30"/>
        </w:rPr>
        <w:t>201</w:t>
      </w:r>
      <w:r>
        <w:rPr>
          <w:rFonts w:hint="eastAsia" w:ascii="宋体" w:hAnsi="宋体"/>
          <w:color w:val="000000"/>
          <w:sz w:val="30"/>
          <w:szCs w:val="30"/>
        </w:rPr>
        <w:t>9年，广汉市发改局政府采购支出总额1171.19万元，其中：政府采购货物支出1171.19万元、政府采购工程支出0万元、政府采购服务支出0万元。主要用于下属粮食购销企业粮仓设施设备采购（具体工作）。授予中小企业合同金额1023.01万元，占政府采购支出总额的87</w:t>
      </w:r>
      <w:r>
        <w:rPr>
          <w:rFonts w:ascii="宋体" w:hAnsi="宋体"/>
          <w:color w:val="000000"/>
          <w:sz w:val="30"/>
          <w:szCs w:val="30"/>
        </w:rPr>
        <w:t>%</w:t>
      </w:r>
      <w:r>
        <w:rPr>
          <w:rFonts w:hint="eastAsia" w:ascii="宋体" w:hAnsi="宋体"/>
          <w:color w:val="000000"/>
          <w:sz w:val="30"/>
          <w:szCs w:val="30"/>
        </w:rPr>
        <w:t>，其中：授予小微企业合同金额1023.01万元，占政府采购支出总额的87</w:t>
      </w:r>
      <w:r>
        <w:rPr>
          <w:rFonts w:ascii="宋体" w:hAnsi="宋体"/>
          <w:color w:val="000000"/>
          <w:sz w:val="30"/>
          <w:szCs w:val="30"/>
        </w:rPr>
        <w:t>%</w:t>
      </w:r>
      <w:r>
        <w:rPr>
          <w:rFonts w:hint="eastAsia" w:ascii="宋体" w:hAnsi="宋体"/>
          <w:color w:val="000000"/>
          <w:sz w:val="30"/>
          <w:szCs w:val="30"/>
        </w:rPr>
        <w:t>。</w:t>
      </w:r>
    </w:p>
    <w:p>
      <w:pPr>
        <w:spacing w:line="600" w:lineRule="exact"/>
        <w:ind w:firstLine="602" w:firstLineChars="2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（注：数据来源于财决附</w:t>
      </w:r>
      <w:r>
        <w:rPr>
          <w:rFonts w:ascii="宋体" w:hAnsi="宋体"/>
          <w:b/>
          <w:color w:val="000000" w:themeColor="text1"/>
          <w:sz w:val="30"/>
          <w:szCs w:val="30"/>
          <w14:textFill>
            <w14:solidFill>
              <w14:schemeClr w14:val="tx1"/>
            </w14:solidFill>
          </w14:textFill>
        </w:rPr>
        <w:t>03</w:t>
      </w:r>
      <w:r>
        <w:rPr>
          <w:rFonts w:hint="eastAsia" w:ascii="宋体" w:hAnsi="宋体"/>
          <w:b/>
          <w:color w:val="000000" w:themeColor="text1"/>
          <w:sz w:val="30"/>
          <w:szCs w:val="30"/>
          <w14:textFill>
            <w14:solidFill>
              <w14:schemeClr w14:val="tx1"/>
            </w14:solidFill>
          </w14:textFill>
        </w:rPr>
        <w:t>表）</w:t>
      </w:r>
    </w:p>
    <w:p>
      <w:pPr>
        <w:autoSpaceDE w:val="0"/>
        <w:autoSpaceDN w:val="0"/>
        <w:adjustRightInd w:val="0"/>
        <w:spacing w:line="600" w:lineRule="exact"/>
        <w:ind w:firstLine="602" w:firstLineChars="200"/>
        <w:jc w:val="left"/>
        <w:outlineLvl w:val="2"/>
        <w:rPr>
          <w:rFonts w:ascii="宋体" w:hAnsi="宋体"/>
          <w:b/>
          <w:color w:val="000000"/>
          <w:sz w:val="30"/>
          <w:szCs w:val="30"/>
        </w:rPr>
      </w:pPr>
      <w:bookmarkStart w:id="54" w:name="_Toc15377224"/>
      <w:r>
        <w:rPr>
          <w:rFonts w:hint="eastAsia" w:ascii="宋体" w:hAnsi="宋体"/>
          <w:b/>
          <w:color w:val="000000"/>
          <w:sz w:val="30"/>
          <w:szCs w:val="30"/>
        </w:rPr>
        <w:t>（三）国有资产占有使用情况</w:t>
      </w:r>
      <w:bookmarkEnd w:id="54"/>
    </w:p>
    <w:p>
      <w:pPr>
        <w:autoSpaceDE w:val="0"/>
        <w:autoSpaceDN w:val="0"/>
        <w:adjustRightInd w:val="0"/>
        <w:spacing w:line="600" w:lineRule="exact"/>
        <w:ind w:firstLine="600" w:firstLineChars="200"/>
        <w:jc w:val="left"/>
        <w:rPr>
          <w:rFonts w:ascii="宋体" w:hAnsi="宋体"/>
          <w:b/>
          <w:color w:val="000000" w:themeColor="text1"/>
          <w:sz w:val="30"/>
          <w:szCs w:val="30"/>
          <w14:textFill>
            <w14:solidFill>
              <w14:schemeClr w14:val="tx1"/>
            </w14:solidFill>
          </w14:textFill>
        </w:rPr>
      </w:pPr>
      <w:r>
        <w:rPr>
          <w:rFonts w:hint="eastAsia" w:ascii="宋体" w:hAnsi="宋体"/>
          <w:color w:val="000000"/>
          <w:sz w:val="30"/>
          <w:szCs w:val="30"/>
        </w:rPr>
        <w:t>截至</w:t>
      </w:r>
      <w:r>
        <w:rPr>
          <w:rFonts w:ascii="宋体" w:hAnsi="宋体"/>
          <w:color w:val="000000"/>
          <w:sz w:val="30"/>
          <w:szCs w:val="30"/>
        </w:rPr>
        <w:t>201</w:t>
      </w:r>
      <w:r>
        <w:rPr>
          <w:rFonts w:hint="eastAsia" w:ascii="宋体" w:hAnsi="宋体"/>
          <w:color w:val="000000"/>
          <w:sz w:val="30"/>
          <w:szCs w:val="30"/>
        </w:rPr>
        <w:t>9年</w:t>
      </w:r>
      <w:r>
        <w:rPr>
          <w:rFonts w:ascii="宋体" w:hAnsi="宋体"/>
          <w:color w:val="000000"/>
          <w:sz w:val="30"/>
          <w:szCs w:val="30"/>
        </w:rPr>
        <w:t>12</w:t>
      </w:r>
      <w:r>
        <w:rPr>
          <w:rFonts w:hint="eastAsia" w:ascii="宋体" w:hAnsi="宋体"/>
          <w:color w:val="000000"/>
          <w:sz w:val="30"/>
          <w:szCs w:val="30"/>
        </w:rPr>
        <w:t>月</w:t>
      </w:r>
      <w:r>
        <w:rPr>
          <w:rFonts w:ascii="宋体" w:hAnsi="宋体"/>
          <w:color w:val="000000"/>
          <w:sz w:val="30"/>
          <w:szCs w:val="30"/>
        </w:rPr>
        <w:t>31</w:t>
      </w:r>
      <w:r>
        <w:rPr>
          <w:rFonts w:hint="eastAsia" w:ascii="宋体" w:hAnsi="宋体"/>
          <w:color w:val="000000"/>
          <w:sz w:val="30"/>
          <w:szCs w:val="30"/>
        </w:rPr>
        <w:t>日，发改局共有车辆5辆，其中：主要领导干部用车0辆、机要通信用车0辆、应急保障用车0辆、其他用车5辆，</w:t>
      </w:r>
      <w:r>
        <w:rPr>
          <w:rFonts w:hint="eastAsia" w:ascii="宋体" w:hAnsi="宋体"/>
          <w:color w:val="000000" w:themeColor="text1"/>
          <w:sz w:val="30"/>
          <w:szCs w:val="30"/>
          <w14:textFill>
            <w14:solidFill>
              <w14:schemeClr w14:val="tx1"/>
            </w14:solidFill>
          </w14:textFill>
        </w:rPr>
        <w:t>其他用车主要是用于发改局机关用于发展和改革工作方面用车；单价</w:t>
      </w:r>
      <w:r>
        <w:rPr>
          <w:rFonts w:ascii="宋体" w:hAnsi="宋体"/>
          <w:color w:val="000000" w:themeColor="text1"/>
          <w:sz w:val="30"/>
          <w:szCs w:val="30"/>
          <w14:textFill>
            <w14:solidFill>
              <w14:schemeClr w14:val="tx1"/>
            </w14:solidFill>
          </w14:textFill>
        </w:rPr>
        <w:t>50</w:t>
      </w:r>
      <w:r>
        <w:rPr>
          <w:rFonts w:hint="eastAsia" w:ascii="宋体" w:hAnsi="宋体"/>
          <w:color w:val="000000" w:themeColor="text1"/>
          <w:sz w:val="30"/>
          <w:szCs w:val="30"/>
          <w14:textFill>
            <w14:solidFill>
              <w14:schemeClr w14:val="tx1"/>
            </w14:solidFill>
          </w14:textFill>
        </w:rPr>
        <w:t>万元以上通用设备0台（套），单价</w:t>
      </w:r>
      <w:r>
        <w:rPr>
          <w:rFonts w:ascii="宋体" w:hAnsi="宋体"/>
          <w:color w:val="000000" w:themeColor="text1"/>
          <w:sz w:val="30"/>
          <w:szCs w:val="30"/>
          <w14:textFill>
            <w14:solidFill>
              <w14:schemeClr w14:val="tx1"/>
            </w14:solidFill>
          </w14:textFill>
        </w:rPr>
        <w:t>100</w:t>
      </w:r>
      <w:r>
        <w:rPr>
          <w:rFonts w:hint="eastAsia" w:ascii="宋体" w:hAnsi="宋体"/>
          <w:color w:val="000000"/>
          <w:sz w:val="30"/>
          <w:szCs w:val="30"/>
        </w:rPr>
        <w:t>万元以上专用设备0台（套）。</w:t>
      </w:r>
      <w:r>
        <w:rPr>
          <w:rFonts w:hint="eastAsia" w:ascii="宋体" w:hAnsi="宋体"/>
          <w:b/>
          <w:color w:val="000000" w:themeColor="text1"/>
          <w:sz w:val="30"/>
          <w:szCs w:val="30"/>
          <w14:textFill>
            <w14:solidFill>
              <w14:schemeClr w14:val="tx1"/>
            </w14:solidFill>
          </w14:textFill>
        </w:rPr>
        <w:t>（注：数据来源财决附</w:t>
      </w:r>
      <w:r>
        <w:rPr>
          <w:rFonts w:ascii="宋体" w:hAnsi="宋体"/>
          <w:b/>
          <w:color w:val="000000" w:themeColor="text1"/>
          <w:sz w:val="30"/>
          <w:szCs w:val="30"/>
          <w14:textFill>
            <w14:solidFill>
              <w14:schemeClr w14:val="tx1"/>
            </w14:solidFill>
          </w14:textFill>
        </w:rPr>
        <w:t>03</w:t>
      </w:r>
      <w:r>
        <w:rPr>
          <w:rFonts w:hint="eastAsia" w:ascii="宋体" w:hAnsi="宋体"/>
          <w:b/>
          <w:color w:val="000000" w:themeColor="text1"/>
          <w:sz w:val="30"/>
          <w:szCs w:val="30"/>
          <w14:textFill>
            <w14:solidFill>
              <w14:schemeClr w14:val="tx1"/>
            </w14:solidFill>
          </w14:textFill>
        </w:rPr>
        <w:t>表，按部门决算报表填报数据罗列车辆情况。）</w:t>
      </w:r>
    </w:p>
    <w:p>
      <w:pPr>
        <w:autoSpaceDE w:val="0"/>
        <w:autoSpaceDN w:val="0"/>
        <w:adjustRightInd w:val="0"/>
        <w:spacing w:line="600" w:lineRule="exact"/>
        <w:ind w:firstLine="602" w:firstLineChars="200"/>
        <w:jc w:val="left"/>
        <w:outlineLvl w:val="2"/>
        <w:rPr>
          <w:rFonts w:ascii="宋体" w:hAnsi="宋体"/>
          <w:b/>
          <w:color w:val="000000"/>
          <w:sz w:val="30"/>
          <w:szCs w:val="30"/>
        </w:rPr>
      </w:pPr>
      <w:r>
        <w:rPr>
          <w:rFonts w:hint="eastAsia" w:ascii="宋体" w:hAnsi="宋体"/>
          <w:b/>
          <w:color w:val="000000"/>
          <w:sz w:val="30"/>
          <w:szCs w:val="30"/>
        </w:rPr>
        <w:t>（四）预算绩效管理情况。</w:t>
      </w:r>
    </w:p>
    <w:p>
      <w:pPr>
        <w:spacing w:line="580" w:lineRule="exact"/>
        <w:ind w:firstLine="600" w:firstLineChars="200"/>
        <w:rPr>
          <w:rFonts w:ascii="宋体" w:hAnsi="宋体" w:cs="仿宋_GB2312"/>
          <w:sz w:val="30"/>
          <w:szCs w:val="30"/>
        </w:rPr>
      </w:pPr>
      <w:r>
        <w:rPr>
          <w:rFonts w:hint="eastAsia" w:ascii="宋体" w:hAnsi="宋体" w:cs="仿宋_GB2312"/>
          <w:sz w:val="30"/>
          <w:szCs w:val="30"/>
        </w:rPr>
        <w:t>根据预算绩效管理要求，本部门（单位）在年初预算编制阶段，组织对粮库智能化项目（项目名称）开展了预算事前绩效评估，对1个项目编制了绩效目标，预算执行过程中，选取1个项目开展绩效监控，年终执行完毕后，对1个项目开展了绩效目标完成情况自评。</w:t>
      </w:r>
    </w:p>
    <w:p>
      <w:pPr>
        <w:snapToGrid w:val="0"/>
        <w:spacing w:line="520" w:lineRule="exact"/>
        <w:ind w:firstLine="600" w:firstLineChars="200"/>
        <w:rPr>
          <w:rFonts w:ascii="仿宋_GB2312" w:hAnsi="仿宋" w:eastAsia="仿宋_GB2312"/>
          <w:color w:val="000000"/>
          <w:sz w:val="32"/>
          <w:szCs w:val="32"/>
        </w:rPr>
      </w:pPr>
      <w:r>
        <w:rPr>
          <w:rFonts w:hint="eastAsia" w:ascii="宋体" w:hAnsi="宋体" w:cs="仿宋_GB2312"/>
          <w:sz w:val="30"/>
          <w:szCs w:val="30"/>
        </w:rPr>
        <w:t>本部门按要求对2019年部门整体支出开展绩效自评，从评价情况来看</w:t>
      </w:r>
      <w:r>
        <w:rPr>
          <w:rFonts w:hint="eastAsia" w:ascii="宋体" w:hAnsi="宋体"/>
          <w:sz w:val="30"/>
          <w:szCs w:val="30"/>
        </w:rPr>
        <w:t>各项经费及时到位有效的保障了机关工作的正常运转及各项目的正常运行，保证各项职能职责按时按质的完成，</w:t>
      </w:r>
      <w:r>
        <w:rPr>
          <w:rFonts w:hint="eastAsia" w:ascii="宋体" w:hAnsi="宋体"/>
          <w:color w:val="000000"/>
          <w:sz w:val="30"/>
          <w:szCs w:val="30"/>
        </w:rPr>
        <w:t>有效的开展了经济运行监测、产业发展、价格管理、应急物资储备、粮食安全责任、</w:t>
      </w:r>
      <w:r>
        <w:rPr>
          <w:rFonts w:hint="eastAsia" w:ascii="宋体" w:hAnsi="宋体"/>
          <w:bCs/>
          <w:color w:val="000000"/>
          <w:sz w:val="30"/>
          <w:szCs w:val="30"/>
        </w:rPr>
        <w:t>民营经济发展等发改工作。</w:t>
      </w:r>
      <w:r>
        <w:rPr>
          <w:rFonts w:hint="eastAsia" w:ascii="宋体" w:hAnsi="宋体" w:cs="仿宋_GB2312"/>
          <w:sz w:val="30"/>
          <w:szCs w:val="30"/>
        </w:rPr>
        <w:t>（简要说明整体绩效情况）。本部门还自行组织了1个项目支出绩效评价，从评价情况来看对项目绩效目标按相应要求完成，及时有效的保障工作的正常运行（简要说明项目绩效情况；若未开展项目支出绩效评价，则说明未开展情况。如：本部门无专项预算项目，因此未组织开展项目支出绩效评价/本部门未组织开展项目支出绩效评价）。</w:t>
      </w:r>
    </w:p>
    <w:p>
      <w:pPr>
        <w:spacing w:line="580" w:lineRule="exact"/>
        <w:ind w:firstLine="600" w:firstLineChars="200"/>
        <w:rPr>
          <w:rFonts w:ascii="宋体" w:hAnsi="宋体" w:cs="仿宋_GB2312"/>
          <w:sz w:val="30"/>
          <w:szCs w:val="30"/>
        </w:rPr>
      </w:pPr>
      <w:r>
        <w:rPr>
          <w:rFonts w:hint="eastAsia" w:ascii="宋体" w:hAnsi="宋体" w:cs="楷体_GB2312"/>
          <w:sz w:val="30"/>
          <w:szCs w:val="30"/>
        </w:rPr>
        <w:t>1.项目绩效目标完成情况。</w:t>
      </w:r>
      <w:r>
        <w:rPr>
          <w:rFonts w:hint="eastAsia" w:ascii="宋体" w:hAnsi="宋体" w:cs="楷体_GB2312"/>
          <w:sz w:val="30"/>
          <w:szCs w:val="30"/>
        </w:rPr>
        <w:br w:type="textWrapping"/>
      </w:r>
      <w:r>
        <w:rPr>
          <w:rFonts w:hint="eastAsia" w:ascii="宋体" w:hAnsi="宋体" w:cs="仿宋_GB2312"/>
          <w:sz w:val="30"/>
          <w:szCs w:val="30"/>
        </w:rPr>
        <w:t xml:space="preserve">    本部门在2019年度部门决算中反映“市（县）级储备粮利费补贴</w:t>
      </w:r>
      <w:r>
        <w:rPr>
          <w:rFonts w:ascii="宋体" w:hAnsi="宋体" w:cs="仿宋_GB2312"/>
          <w:sz w:val="30"/>
          <w:szCs w:val="30"/>
        </w:rPr>
        <w:t>”</w:t>
      </w:r>
      <w:r>
        <w:rPr>
          <w:rFonts w:hint="eastAsia" w:ascii="宋体" w:hAnsi="宋体" w:cs="仿宋_GB2312"/>
          <w:sz w:val="30"/>
          <w:szCs w:val="30"/>
        </w:rPr>
        <w:t>等1个项目绩效目标实际完成情况。（本单位部门项目绩效目标个数在5个以上的，选取5个项目进行公开，目标个数在5个以下的，全部进行公开，公开内容包括选取的全部项目完成情况综述和完成情况表）。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00" w:firstLineChars="200"/>
        <w:rPr>
          <w:rFonts w:ascii="宋体" w:hAnsi="宋体" w:cs="仿宋_GB2312"/>
          <w:sz w:val="30"/>
          <w:szCs w:val="30"/>
        </w:rPr>
      </w:pPr>
      <w:r>
        <w:rPr>
          <w:rFonts w:hint="eastAsia" w:ascii="宋体" w:hAnsi="宋体" w:cs="仿宋_GB2312"/>
          <w:sz w:val="30"/>
          <w:szCs w:val="30"/>
        </w:rPr>
        <w:t>市级储备粮利费补贴项目绩效目标完成情况综述。项目全年预算数136.61万元，执行数为136.61万元，完成预算的100%。通过项目实施，保障（支持、促进、提高……）了市级储备粮的储备，能保证当地政府在特殊情况下能调得出粮，并保证当地市民的口粮(按照项目总体目标简要描述项目成效），发现的主要问题：无。下一步改进措施：无。</w:t>
      </w: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2020年市级储备粮利费补贴</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136.61</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136.61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136.61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136.61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136.61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完成承储企业2020年市级储备粮利费补贴</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完成承储企业2020年市级储备粮利费补贴</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安全承储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市级储备粮存储5000吨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市级储备粮存储5000吨</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规范性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规范100%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宋体" w:hAnsi="宋体" w:cs="仿宋_GB2312"/>
          <w:sz w:val="30"/>
          <w:szCs w:val="30"/>
        </w:rPr>
      </w:pPr>
      <w:r>
        <w:rPr>
          <w:rFonts w:hint="eastAsia" w:ascii="宋体" w:hAnsi="宋体" w:cs="楷体_GB2312"/>
          <w:sz w:val="30"/>
          <w:szCs w:val="30"/>
        </w:rPr>
        <w:t>2.部门绩效评价结果。</w:t>
      </w:r>
    </w:p>
    <w:p>
      <w:pPr>
        <w:spacing w:line="580" w:lineRule="exact"/>
        <w:ind w:firstLine="600" w:firstLineChars="200"/>
        <w:rPr>
          <w:rFonts w:ascii="宋体" w:hAnsi="宋体" w:cs="仿宋_GB2312"/>
          <w:sz w:val="30"/>
          <w:szCs w:val="30"/>
        </w:rPr>
      </w:pPr>
      <w:r>
        <w:rPr>
          <w:rFonts w:hint="eastAsia" w:ascii="宋体" w:hAnsi="宋体" w:cs="仿宋_GB2312"/>
          <w:sz w:val="30"/>
          <w:szCs w:val="30"/>
        </w:rPr>
        <w:t>本部门按要求对2019年部门整体支出绩效评价情况开展自评，《广汉市发展和改革局2019年部门整体支出绩效评价报告》见附件（附件1）。</w:t>
      </w:r>
    </w:p>
    <w:p>
      <w:pPr>
        <w:spacing w:line="580" w:lineRule="exact"/>
        <w:ind w:firstLine="600" w:firstLineChars="200"/>
        <w:rPr>
          <w:rFonts w:ascii="宋体" w:hAnsi="宋体"/>
          <w:b/>
          <w:color w:val="000000"/>
          <w:sz w:val="30"/>
          <w:szCs w:val="30"/>
        </w:rPr>
      </w:pPr>
      <w:r>
        <w:rPr>
          <w:rFonts w:hint="eastAsia" w:ascii="宋体" w:hAnsi="宋体" w:cs="仿宋_GB2312"/>
          <w:sz w:val="30"/>
          <w:szCs w:val="30"/>
        </w:rPr>
        <w:t>本部门自行组织对市级储备粮利费补贴项目、《市级储备粮利费补贴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一般公共服务201（类）04（款）发展与改革事务：指反映发展和改革事务方面的支出。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一般公共服务201（类）04（款）01（项）行政运行：指反映行政单位（包括实行公务员管理的事业单位）的基本支出。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一般公共服务201（类）04（款）02（项）一般行政管理事务：指反映行政单位（包括实行公务员管理的事业单位）未单独设置项级科目的其他项目支出。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卫生健康210（类）11（款）行政单位医疗：指反映行政事业单位医疗方面的支出。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210（类）11（款）01（项）行政单位医疗：指反映财政部门安排的行政单位（包括实行公务员管理的事事单位）基本医疗保险经费，未参加医疗保险的行政单位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卫生健康210（类）11（款）02（项）事业单位医疗：指反映财政部门安排的事业单位基本医疗保险的缴费经费，未参加医疗保险的事业单位的公费医疗经费，按国家规定享受离休人员待遇的医疗经费。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卫生健康210（类）11（款）03（项）公务员医疗补助：反映财政部门安排的公务员医疗补助经费。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卫生健康210（类）99（款）01（项）其他卫生健康支出：反映除上述项目以外其他用于卫生健康方面的支出。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住房保障221（类）02（款）01（项）住房公积金：指反映行政事业按人力资源和社会保障部、财政部规定的基本工资和津贴补贴以及规定比例为职工缴纳的住房公积金。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粮油物资储备222（类）01（款）粮油事务：指反映粮油事务方面的支出。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粮油物资储备222（类）01（款）01（项）行政运行：指反映行政单位（包括实行公务员管理的事业单位）的基本支出。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粮油物资储备222（类）01（款）50（项）事业运行：反映事业单位的基本支出，不包括行政单位（包括实行公务员管理的事业单位）后勤中心、医务室等附属事业单位。</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广汉市发展和改革局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ind w:firstLine="600" w:firstLineChars="200"/>
        <w:rPr>
          <w:rFonts w:ascii="宋体" w:hAnsi="宋体" w:cs="仿宋_GB2312"/>
          <w:color w:val="000000"/>
          <w:kern w:val="0"/>
          <w:sz w:val="30"/>
          <w:szCs w:val="30"/>
        </w:rPr>
      </w:pPr>
      <w:r>
        <w:rPr>
          <w:rFonts w:hint="eastAsia" w:ascii="宋体" w:hAnsi="宋体" w:cs="仿宋_GB2312"/>
          <w:color w:val="000000"/>
          <w:kern w:val="0"/>
          <w:sz w:val="30"/>
          <w:szCs w:val="30"/>
        </w:rPr>
        <w:t>广汉市发展和改革局是广汉市人民政府工作部门，为正科级。2019年因机构改革加挂市粮食和物资储备局牌子。现有11个内设机构，分别是办公室、区域协同发展股、投资股、项目管理协调股、国民经济和经济体制改革股、招投投标管理股、社会事业与农村经济股、产业发展股、价格收费管理股、粮食管理股、应急物资管理及执法检查股。</w:t>
      </w:r>
      <w:r>
        <w:rPr>
          <w:rFonts w:hint="eastAsia" w:ascii="宋体" w:hAnsi="宋体" w:cs="仿宋_GB2312"/>
          <w:kern w:val="0"/>
          <w:sz w:val="30"/>
          <w:szCs w:val="30"/>
        </w:rPr>
        <w:t>现目前，我局内设广汉市价格认证中心、广汉市重大项目推进中心2个全额拨款的事业单位。</w:t>
      </w:r>
      <w:r>
        <w:rPr>
          <w:rFonts w:hint="eastAsia" w:ascii="宋体" w:hAnsi="宋体" w:cs="仿宋_GB2312"/>
          <w:color w:val="000000"/>
          <w:kern w:val="0"/>
          <w:sz w:val="30"/>
          <w:szCs w:val="30"/>
        </w:rPr>
        <w:t>市发改局现有职工45人，其中：公务员31人，工勤人员5人，事业人员9人。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ind w:firstLine="600" w:firstLineChars="200"/>
        <w:rPr>
          <w:rFonts w:ascii="宋体" w:hAnsi="宋体" w:cs="仿宋_GB2312"/>
          <w:kern w:val="0"/>
          <w:sz w:val="30"/>
          <w:szCs w:val="30"/>
        </w:rPr>
      </w:pPr>
      <w:r>
        <w:rPr>
          <w:rFonts w:hint="eastAsia" w:ascii="宋体" w:hAnsi="宋体" w:cs="仿宋_GB2312"/>
          <w:kern w:val="0"/>
          <w:sz w:val="30"/>
          <w:szCs w:val="30"/>
        </w:rPr>
        <w:t>一是贯彻实施国家有关国民经济和社会发展、经济体制改革的改革、价格、能源、粮食和物资储备的方针、政策和法律、法规。二是负责拟订并组织实施全市国民经济和社会发展战略、中长期规划和年度计划；三是负责监测宏观经济和社会发展态势，承担预测预警和信息引导的责任；四是汇总分析全市财政和利用外资等方面情况，指导全市国民经济计划和发展规划的实施；五是承担指导推进和综合统筹全市经济体制改革职责，组织拟订综合性经济体制改革方案；六是负责全市投资宏观管理和统筹推进重大项目建设；七是推进经济结构战略性调整；八是促进县域经济发展，拟订县域经济中长期长期规划、年度目标任务等有关政策并负责组织实施及督促检查；九是负责重要商品总量平衡和宏观调控；十负责全市社会发展与国民经济发展的政策衔接，推进社会事建设；十一推进可持续发展，协调全市发展循环经济、能源资源节约和综合利用规划及政策措施，综合协调环保产业和清洁生产促进有关工作；十二指导并综合管理全市招标投标工作；十三编制和执行价格调整改革规划，提出年度价格总水平调控目标及价格调控措施并组织实施；十四负责社会信用体系建设的统筹规划。监督考核和指导协调；十五研究提出全市能源发展战略和政策措施，拟订全市能源发展规划，提出相关体制改革建议； 十六全市粮食流通和物资储备管理的规范性文件并监督执行；十七根据市应急等部门提出的市级救灾物资储备计划的建议，组织实施救灾物资收储、轮换和日常管理，落实有关动用计划和指令；十八负责全社会粮食流通监管、粮食安全；十九组织拟订区域经济发展规划，参与编制区域合作空间发展规划、区域发展专项规划；二十负责职责范围内的安全生产和职业健康、生态环境保护和审批服务全民化等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ind w:firstLine="600" w:firstLineChars="200"/>
        <w:rPr>
          <w:rFonts w:ascii="宋体" w:hAnsi="宋体" w:cs="仿宋_GB2312"/>
          <w:color w:val="000000"/>
          <w:kern w:val="0"/>
          <w:sz w:val="30"/>
          <w:szCs w:val="30"/>
        </w:rPr>
      </w:pPr>
      <w:r>
        <w:rPr>
          <w:rFonts w:hint="eastAsia" w:ascii="宋体" w:hAnsi="宋体" w:cs="仿宋_GB2312"/>
          <w:color w:val="000000"/>
          <w:kern w:val="0"/>
          <w:sz w:val="30"/>
          <w:szCs w:val="30"/>
        </w:rPr>
        <w:t>市发改局2019年底有职工43人，其中：公务员29人，工勤人员5人，事业人员9人，其他人员5人。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napToGrid w:val="0"/>
        <w:spacing w:line="520" w:lineRule="exact"/>
        <w:ind w:firstLine="600" w:firstLineChars="200"/>
        <w:rPr>
          <w:rFonts w:ascii="宋体"/>
          <w:color w:val="000000"/>
          <w:sz w:val="30"/>
          <w:szCs w:val="30"/>
        </w:rPr>
      </w:pPr>
      <w:r>
        <w:rPr>
          <w:rFonts w:ascii="宋体" w:hAnsi="宋体"/>
          <w:color w:val="000000"/>
          <w:sz w:val="30"/>
          <w:szCs w:val="30"/>
        </w:rPr>
        <w:t>2019</w:t>
      </w:r>
      <w:r>
        <w:rPr>
          <w:rFonts w:hint="eastAsia" w:ascii="宋体" w:hAnsi="宋体"/>
          <w:color w:val="000000"/>
          <w:sz w:val="30"/>
          <w:szCs w:val="30"/>
        </w:rPr>
        <w:t>年本年收入合计5453.76万元，主要用于以下方面：一般公共服务（类）支出1397.58万元，占26</w:t>
      </w:r>
      <w:r>
        <w:rPr>
          <w:rFonts w:ascii="宋体" w:hAnsi="宋体"/>
          <w:color w:val="000000"/>
          <w:sz w:val="30"/>
          <w:szCs w:val="30"/>
        </w:rPr>
        <w:t>%</w:t>
      </w:r>
      <w:r>
        <w:rPr>
          <w:rFonts w:hint="eastAsia" w:ascii="宋体" w:hAnsi="宋体"/>
          <w:color w:val="000000"/>
          <w:sz w:val="30"/>
          <w:szCs w:val="30"/>
        </w:rPr>
        <w:t>；教育支出（类）</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；社会保障和就业支出192.63万元，占3</w:t>
      </w:r>
      <w:r>
        <w:rPr>
          <w:rFonts w:ascii="宋体" w:hAnsi="宋体"/>
          <w:color w:val="000000"/>
          <w:sz w:val="30"/>
          <w:szCs w:val="30"/>
        </w:rPr>
        <w:t>%</w:t>
      </w:r>
      <w:r>
        <w:rPr>
          <w:rFonts w:hint="eastAsia" w:ascii="宋体" w:hAnsi="宋体"/>
          <w:color w:val="000000"/>
          <w:sz w:val="30"/>
          <w:szCs w:val="30"/>
        </w:rPr>
        <w:t>；科学技术（类）支出</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；卫生健康支出</w:t>
      </w:r>
      <w:r>
        <w:rPr>
          <w:rFonts w:ascii="宋体" w:hAnsi="宋体"/>
          <w:color w:val="000000"/>
          <w:sz w:val="30"/>
          <w:szCs w:val="30"/>
        </w:rPr>
        <w:t>43.</w:t>
      </w:r>
      <w:r>
        <w:rPr>
          <w:rFonts w:hint="eastAsia" w:ascii="宋体" w:hAnsi="宋体"/>
          <w:color w:val="000000"/>
          <w:sz w:val="30"/>
          <w:szCs w:val="30"/>
        </w:rPr>
        <w:t>29万元，占</w:t>
      </w:r>
      <w:r>
        <w:rPr>
          <w:rFonts w:ascii="宋体" w:hAnsi="宋体"/>
          <w:color w:val="000000"/>
          <w:sz w:val="30"/>
          <w:szCs w:val="30"/>
        </w:rPr>
        <w:t>1%</w:t>
      </w:r>
      <w:r>
        <w:rPr>
          <w:rFonts w:hint="eastAsia" w:ascii="宋体" w:hAnsi="宋体"/>
          <w:color w:val="000000"/>
          <w:sz w:val="30"/>
          <w:szCs w:val="30"/>
        </w:rPr>
        <w:t>；住房保障支出</w:t>
      </w:r>
      <w:r>
        <w:rPr>
          <w:rFonts w:ascii="宋体" w:hAnsi="宋体"/>
          <w:color w:val="000000"/>
          <w:sz w:val="30"/>
          <w:szCs w:val="30"/>
        </w:rPr>
        <w:t>56.7</w:t>
      </w:r>
      <w:r>
        <w:rPr>
          <w:rFonts w:hint="eastAsia" w:ascii="宋体" w:hAnsi="宋体"/>
          <w:color w:val="000000"/>
          <w:sz w:val="30"/>
          <w:szCs w:val="30"/>
        </w:rPr>
        <w:t>2万元，占1</w:t>
      </w:r>
      <w:r>
        <w:rPr>
          <w:rFonts w:ascii="宋体" w:hAnsi="宋体"/>
          <w:color w:val="000000"/>
          <w:sz w:val="30"/>
          <w:szCs w:val="30"/>
        </w:rPr>
        <w:t>%</w:t>
      </w:r>
      <w:r>
        <w:rPr>
          <w:rFonts w:hint="eastAsia" w:ascii="宋体" w:hAnsi="宋体"/>
          <w:color w:val="000000"/>
          <w:sz w:val="30"/>
          <w:szCs w:val="30"/>
        </w:rPr>
        <w:t>；粮油物资储备支出3753.54万元，占68.80</w:t>
      </w:r>
      <w:r>
        <w:rPr>
          <w:rFonts w:ascii="宋体" w:hAnsi="宋体"/>
          <w:color w:val="000000"/>
          <w:sz w:val="30"/>
          <w:szCs w:val="30"/>
        </w:rPr>
        <w:t>%</w:t>
      </w:r>
      <w:r>
        <w:rPr>
          <w:rFonts w:hint="eastAsia" w:ascii="宋体" w:hAnsi="宋体"/>
          <w:color w:val="000000"/>
          <w:sz w:val="30"/>
          <w:szCs w:val="30"/>
        </w:rPr>
        <w:t>；其他支出10万元，占</w:t>
      </w:r>
      <w:r>
        <w:rPr>
          <w:rFonts w:ascii="宋体" w:hAnsi="宋体"/>
          <w:color w:val="000000"/>
          <w:sz w:val="30"/>
          <w:szCs w:val="30"/>
        </w:rPr>
        <w:t>0.2%</w:t>
      </w:r>
      <w:r>
        <w:rPr>
          <w:rFonts w:hint="eastAsia" w:ascii="宋体" w:hAnsi="宋体"/>
          <w:color w:val="000000"/>
          <w:sz w:val="30"/>
          <w:szCs w:val="30"/>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napToGrid w:val="0"/>
        <w:spacing w:line="520" w:lineRule="exact"/>
        <w:ind w:firstLine="600" w:firstLineChars="200"/>
        <w:rPr>
          <w:rFonts w:ascii="宋体"/>
          <w:color w:val="000000"/>
          <w:sz w:val="30"/>
          <w:szCs w:val="30"/>
        </w:rPr>
      </w:pPr>
      <w:r>
        <w:rPr>
          <w:rFonts w:ascii="宋体" w:hAnsi="宋体"/>
          <w:color w:val="000000"/>
          <w:sz w:val="30"/>
          <w:szCs w:val="30"/>
        </w:rPr>
        <w:t>2019</w:t>
      </w:r>
      <w:r>
        <w:rPr>
          <w:rFonts w:hint="eastAsia" w:ascii="宋体" w:hAnsi="宋体"/>
          <w:color w:val="000000"/>
          <w:sz w:val="30"/>
          <w:szCs w:val="30"/>
        </w:rPr>
        <w:t>年一般公共预算财政拨款支出3360.45万元，主要用于以下方面：一般公共服务（类）支出</w:t>
      </w:r>
      <w:r>
        <w:rPr>
          <w:rFonts w:ascii="宋体" w:hAnsi="宋体"/>
          <w:color w:val="000000"/>
          <w:sz w:val="30"/>
          <w:szCs w:val="30"/>
        </w:rPr>
        <w:t>1458.1</w:t>
      </w:r>
      <w:r>
        <w:rPr>
          <w:rFonts w:hint="eastAsia" w:ascii="宋体" w:hAnsi="宋体"/>
          <w:color w:val="000000"/>
          <w:sz w:val="30"/>
          <w:szCs w:val="30"/>
        </w:rPr>
        <w:t>4万元，占</w:t>
      </w:r>
      <w:r>
        <w:rPr>
          <w:rFonts w:ascii="宋体" w:hAnsi="宋体"/>
          <w:color w:val="000000"/>
          <w:sz w:val="30"/>
          <w:szCs w:val="30"/>
        </w:rPr>
        <w:t>43%</w:t>
      </w:r>
      <w:r>
        <w:rPr>
          <w:rFonts w:hint="eastAsia" w:ascii="宋体" w:hAnsi="宋体"/>
          <w:color w:val="000000"/>
          <w:sz w:val="30"/>
          <w:szCs w:val="30"/>
        </w:rPr>
        <w:t>；教育支出（类）</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；社会保障和就业支出</w:t>
      </w:r>
      <w:r>
        <w:rPr>
          <w:rFonts w:ascii="宋体" w:hAnsi="宋体"/>
          <w:color w:val="000000"/>
          <w:sz w:val="30"/>
          <w:szCs w:val="30"/>
        </w:rPr>
        <w:t>200.</w:t>
      </w:r>
      <w:r>
        <w:rPr>
          <w:rFonts w:hint="eastAsia" w:ascii="宋体" w:hAnsi="宋体"/>
          <w:color w:val="000000"/>
          <w:sz w:val="30"/>
          <w:szCs w:val="30"/>
        </w:rPr>
        <w:t>20万元，占</w:t>
      </w:r>
      <w:r>
        <w:rPr>
          <w:rFonts w:ascii="宋体" w:hAnsi="宋体"/>
          <w:color w:val="000000"/>
          <w:sz w:val="30"/>
          <w:szCs w:val="30"/>
        </w:rPr>
        <w:t>5.8%</w:t>
      </w:r>
      <w:r>
        <w:rPr>
          <w:rFonts w:hint="eastAsia" w:ascii="宋体" w:hAnsi="宋体"/>
          <w:color w:val="000000"/>
          <w:sz w:val="30"/>
          <w:szCs w:val="30"/>
        </w:rPr>
        <w:t>；科学技术（类）支出</w:t>
      </w:r>
      <w:r>
        <w:rPr>
          <w:rFonts w:ascii="宋体"/>
          <w:color w:val="000000"/>
          <w:sz w:val="30"/>
          <w:szCs w:val="30"/>
        </w:rPr>
        <w:t>0</w:t>
      </w:r>
      <w:r>
        <w:rPr>
          <w:rFonts w:hint="eastAsia" w:ascii="宋体" w:hAnsi="宋体"/>
          <w:color w:val="000000"/>
          <w:sz w:val="30"/>
          <w:szCs w:val="30"/>
        </w:rPr>
        <w:t>万元，占</w:t>
      </w:r>
      <w:r>
        <w:rPr>
          <w:rFonts w:ascii="宋体" w:hAnsi="宋体"/>
          <w:color w:val="000000"/>
          <w:sz w:val="30"/>
          <w:szCs w:val="30"/>
        </w:rPr>
        <w:t>0%</w:t>
      </w:r>
      <w:r>
        <w:rPr>
          <w:rFonts w:hint="eastAsia" w:ascii="宋体" w:hAnsi="宋体"/>
          <w:color w:val="000000"/>
          <w:sz w:val="30"/>
          <w:szCs w:val="30"/>
        </w:rPr>
        <w:t>；卫生健康支出</w:t>
      </w:r>
      <w:r>
        <w:rPr>
          <w:rFonts w:ascii="宋体" w:hAnsi="宋体"/>
          <w:color w:val="000000"/>
          <w:sz w:val="30"/>
          <w:szCs w:val="30"/>
        </w:rPr>
        <w:t>43.</w:t>
      </w:r>
      <w:r>
        <w:rPr>
          <w:rFonts w:hint="eastAsia" w:ascii="宋体" w:hAnsi="宋体"/>
          <w:color w:val="000000"/>
          <w:sz w:val="30"/>
          <w:szCs w:val="30"/>
        </w:rPr>
        <w:t>30万元，占</w:t>
      </w:r>
      <w:r>
        <w:rPr>
          <w:rFonts w:ascii="宋体" w:hAnsi="宋体"/>
          <w:color w:val="000000"/>
          <w:sz w:val="30"/>
          <w:szCs w:val="30"/>
        </w:rPr>
        <w:t>1%</w:t>
      </w:r>
      <w:r>
        <w:rPr>
          <w:rFonts w:hint="eastAsia" w:ascii="宋体" w:hAnsi="宋体"/>
          <w:color w:val="000000"/>
          <w:sz w:val="30"/>
          <w:szCs w:val="30"/>
        </w:rPr>
        <w:t>；住房保障支出</w:t>
      </w:r>
      <w:r>
        <w:rPr>
          <w:rFonts w:ascii="宋体" w:hAnsi="宋体"/>
          <w:color w:val="000000"/>
          <w:sz w:val="30"/>
          <w:szCs w:val="30"/>
        </w:rPr>
        <w:t>56.7</w:t>
      </w:r>
      <w:r>
        <w:rPr>
          <w:rFonts w:hint="eastAsia" w:ascii="宋体" w:hAnsi="宋体"/>
          <w:color w:val="000000"/>
          <w:sz w:val="30"/>
          <w:szCs w:val="30"/>
        </w:rPr>
        <w:t>2万元，占</w:t>
      </w:r>
      <w:r>
        <w:rPr>
          <w:rFonts w:ascii="宋体" w:hAnsi="宋体"/>
          <w:color w:val="000000"/>
          <w:sz w:val="30"/>
          <w:szCs w:val="30"/>
        </w:rPr>
        <w:t>2%</w:t>
      </w:r>
      <w:r>
        <w:rPr>
          <w:rFonts w:hint="eastAsia" w:ascii="宋体" w:hAnsi="宋体"/>
          <w:color w:val="000000"/>
          <w:sz w:val="30"/>
          <w:szCs w:val="30"/>
        </w:rPr>
        <w:t>；金融支出</w:t>
      </w:r>
      <w:r>
        <w:rPr>
          <w:rFonts w:ascii="宋体" w:hAnsi="宋体"/>
          <w:color w:val="000000"/>
          <w:sz w:val="30"/>
          <w:szCs w:val="30"/>
        </w:rPr>
        <w:t>160.36</w:t>
      </w:r>
      <w:r>
        <w:rPr>
          <w:rFonts w:hint="eastAsia" w:ascii="宋体" w:hAnsi="宋体"/>
          <w:color w:val="000000"/>
          <w:sz w:val="30"/>
          <w:szCs w:val="30"/>
        </w:rPr>
        <w:t>万元，占</w:t>
      </w:r>
      <w:r>
        <w:rPr>
          <w:rFonts w:ascii="宋体" w:hAnsi="宋体"/>
          <w:color w:val="000000"/>
          <w:sz w:val="30"/>
          <w:szCs w:val="30"/>
        </w:rPr>
        <w:t>5%</w:t>
      </w:r>
      <w:r>
        <w:rPr>
          <w:rFonts w:hint="eastAsia" w:ascii="宋体" w:hAnsi="宋体"/>
          <w:color w:val="000000"/>
          <w:sz w:val="30"/>
          <w:szCs w:val="30"/>
        </w:rPr>
        <w:t>；粮油物资储备支出</w:t>
      </w:r>
      <w:r>
        <w:rPr>
          <w:rFonts w:ascii="宋体" w:hAnsi="宋体"/>
          <w:color w:val="000000"/>
          <w:sz w:val="30"/>
          <w:szCs w:val="30"/>
        </w:rPr>
        <w:t>1435.7</w:t>
      </w:r>
      <w:r>
        <w:rPr>
          <w:rFonts w:hint="eastAsia" w:ascii="宋体" w:hAnsi="宋体"/>
          <w:color w:val="000000"/>
          <w:sz w:val="30"/>
          <w:szCs w:val="30"/>
        </w:rPr>
        <w:t>3万元，占</w:t>
      </w:r>
      <w:r>
        <w:rPr>
          <w:rFonts w:ascii="宋体" w:hAnsi="宋体"/>
          <w:color w:val="000000"/>
          <w:sz w:val="30"/>
          <w:szCs w:val="30"/>
        </w:rPr>
        <w:t>43%</w:t>
      </w:r>
      <w:r>
        <w:rPr>
          <w:rFonts w:hint="eastAsia" w:ascii="宋体" w:hAnsi="宋体"/>
          <w:color w:val="000000"/>
          <w:sz w:val="30"/>
          <w:szCs w:val="30"/>
        </w:rPr>
        <w:t>；其他支出</w:t>
      </w:r>
      <w:r>
        <w:rPr>
          <w:rFonts w:ascii="宋体" w:hAnsi="宋体"/>
          <w:color w:val="000000"/>
          <w:sz w:val="30"/>
          <w:szCs w:val="30"/>
        </w:rPr>
        <w:t>6</w:t>
      </w:r>
      <w:r>
        <w:rPr>
          <w:rFonts w:hint="eastAsia" w:ascii="宋体" w:hAnsi="宋体"/>
          <w:color w:val="000000"/>
          <w:sz w:val="30"/>
          <w:szCs w:val="30"/>
        </w:rPr>
        <w:t>万元，占</w:t>
      </w:r>
      <w:r>
        <w:rPr>
          <w:rFonts w:ascii="宋体" w:hAnsi="宋体"/>
          <w:color w:val="000000"/>
          <w:sz w:val="30"/>
          <w:szCs w:val="30"/>
        </w:rPr>
        <w:t>0.2%</w:t>
      </w:r>
      <w:r>
        <w:rPr>
          <w:rFonts w:hint="eastAsia" w:ascii="宋体" w:hAnsi="宋体"/>
          <w:color w:val="000000"/>
          <w:sz w:val="30"/>
          <w:szCs w:val="30"/>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spacing w:line="580" w:lineRule="exact"/>
        <w:ind w:firstLine="600" w:firstLineChars="200"/>
        <w:rPr>
          <w:rFonts w:ascii="宋体" w:hAnsi="宋体"/>
          <w:kern w:val="0"/>
          <w:sz w:val="30"/>
          <w:szCs w:val="30"/>
        </w:rPr>
      </w:pPr>
      <w:r>
        <w:rPr>
          <w:rFonts w:hint="eastAsia" w:ascii="宋体" w:hAnsi="宋体"/>
          <w:kern w:val="0"/>
          <w:sz w:val="30"/>
          <w:szCs w:val="30"/>
        </w:rPr>
        <w:t>完成主要任务：1、日元贷款付息，用于建设德阳市宏观经济信息计算机管理系统的转货业务和有关管理事宜；2、12358价格举报投诉平台，切实强化物价监管职能，落实价格改革，稳定价格秩序；3、成德“同城化”发展规划合作，深入推进全面创新改革和成德同城化两个“一号工程”，加快落实五年行动计划项目；4、定价和定期成本监审，切实强化物价监管职能，落实价格改革，稳定市场价格秩序；5、经动办工作，经动办日常工作；6、经宏工程运行维护，经宏工程运行维护；7、全面创新改革实验工作牵头单位，深入推进全面创新改革和成德同城化两个“一号工程“，加快落实五年行动计划项目；8、人员基本工资及公用经费支出及办公设备购置，单位人员的工资福利及公用经费及设备购置；9、污水处理成本监审，天然气成本监审，切实强化物价鉴管职能，落实价格改革，稳定市场价格秩序；10、物价监审调查，切实强化物价鉴管职能，落实价格改革，稳定市场价格秩序；11、物价年审，切实强化物价鉴管职能，落实价格改革，稳定市场价格秩序；12、重大项目推进工作，稳步推进重点项目建设及基础设施建设项目等相关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snapToGrid w:val="0"/>
        <w:spacing w:line="520" w:lineRule="exact"/>
        <w:ind w:firstLine="600" w:firstLineChars="200"/>
        <w:rPr>
          <w:rFonts w:ascii="宋体" w:hAnsi="宋体"/>
          <w:kern w:val="0"/>
          <w:sz w:val="30"/>
          <w:szCs w:val="30"/>
        </w:rPr>
      </w:pPr>
      <w:r>
        <w:rPr>
          <w:rFonts w:hint="eastAsia" w:ascii="宋体" w:hAnsi="宋体"/>
          <w:kern w:val="0"/>
          <w:sz w:val="30"/>
          <w:szCs w:val="30"/>
        </w:rPr>
        <w:t>按照单位内部控制管理工作要求，建立了单位预算业务管理、收支业务管理、政府采购业务管理、国有资产业务管理、建设项目业务管理、合同业务管理等相关管理制度及相应的财务管理。2019年我局“三公”经费严格按照厉行节约的原则，压减不必要的开支。资产管理工作按照国有资产管理做到资产账实相符、处置规范。2019年我单位无购买服务。单位的预算、决算公开工作，均按照财政局要求做到及时信息公开。</w:t>
      </w:r>
    </w:p>
    <w:p>
      <w:pPr>
        <w:snapToGrid w:val="0"/>
        <w:spacing w:line="520" w:lineRule="exact"/>
        <w:ind w:firstLine="600" w:firstLineChars="200"/>
        <w:rPr>
          <w:rFonts w:ascii="宋体"/>
          <w:sz w:val="30"/>
          <w:szCs w:val="30"/>
        </w:rPr>
      </w:pPr>
      <w:r>
        <w:rPr>
          <w:rFonts w:hint="eastAsia" w:ascii="宋体" w:hAnsi="宋体"/>
          <w:sz w:val="30"/>
          <w:szCs w:val="30"/>
        </w:rPr>
        <w:t>专项资金严格按时相关文件要求，专款专用，建立项目资金管理领导责任制和会计核算制，并自觉接受财政、审计和上级主管部门的监督。按时事前审核、事中监督、事后检查的要求，建立健全项目资金跟踪检查制度和重大问题上报制度。</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360" w:lineRule="auto"/>
        <w:ind w:firstLine="720"/>
        <w:jc w:val="left"/>
        <w:rPr>
          <w:rFonts w:ascii="宋体" w:hAnsi="宋体" w:cs="宋体"/>
          <w:color w:val="000000"/>
          <w:kern w:val="0"/>
          <w:sz w:val="30"/>
          <w:szCs w:val="30"/>
          <w:shd w:val="clear" w:color="auto" w:fill="FFFFFF"/>
          <w:lang w:val="zh-CN"/>
        </w:rPr>
      </w:pPr>
      <w:r>
        <w:rPr>
          <w:rFonts w:hint="eastAsia" w:ascii="宋体" w:hAnsi="宋体" w:cs="宋体"/>
          <w:color w:val="000000"/>
          <w:kern w:val="0"/>
          <w:sz w:val="30"/>
          <w:szCs w:val="30"/>
          <w:shd w:val="clear" w:color="auto" w:fill="FFFFFF"/>
          <w:lang w:val="zh-CN"/>
        </w:rPr>
        <w:t>部门预算支出绩效是单位全面预算管理的重要组成部份，单位绩效以目标为导向、以项目成本为衡量、以绩效报告为核心的预算体制，绩效管理的目的就是要实现成果和效率，在绩效预算管理中，单位为整个社会经济运行实现社会效益。</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无</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市级储备粮利费补贴</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spacing w:line="360" w:lineRule="auto"/>
        <w:ind w:firstLine="600" w:firstLineChars="200"/>
        <w:rPr>
          <w:rFonts w:ascii="宋体" w:cs="仿宋_GB2312"/>
          <w:kern w:val="0"/>
          <w:sz w:val="30"/>
          <w:szCs w:val="30"/>
        </w:rPr>
      </w:pPr>
      <w:r>
        <w:rPr>
          <w:rFonts w:hint="eastAsia" w:ascii="宋体" w:hAnsi="宋体" w:cs="仿宋_GB2312"/>
          <w:kern w:val="0"/>
          <w:sz w:val="30"/>
          <w:szCs w:val="30"/>
        </w:rPr>
        <w:t>根据广汉市发展和改革局工作职能，负责全市粮食流通和物资储备管理的规范性文件并监督执行；根据市应急等部门提出的市级救灾物资储备计划的建议，组织实施救灾物资收储、轮换和日常管理，落实有关动用计划和指令；</w:t>
      </w:r>
      <w:r>
        <w:rPr>
          <w:rFonts w:hint="eastAsia" w:ascii="宋体" w:cs="仿宋_GB2312"/>
          <w:kern w:val="0"/>
          <w:sz w:val="30"/>
          <w:szCs w:val="30"/>
        </w:rPr>
        <w:t>同时</w:t>
      </w:r>
      <w:r>
        <w:rPr>
          <w:rFonts w:hint="eastAsia" w:ascii="宋体" w:hAnsi="宋体" w:cs="仿宋_GB2312"/>
          <w:kern w:val="0"/>
          <w:sz w:val="30"/>
          <w:szCs w:val="30"/>
        </w:rPr>
        <w:t>负责全社会粮食流通监管、粮食安全。我局负责下属承储企业执行广汉市级储备粮承储任务，同时保证市级储备粮安全。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360" w:lineRule="auto"/>
        <w:ind w:firstLine="720"/>
        <w:rPr>
          <w:rFonts w:ascii="宋体" w:hAnsi="宋体"/>
          <w:sz w:val="30"/>
          <w:szCs w:val="30"/>
          <w:lang w:val="zh-CN"/>
        </w:rPr>
      </w:pPr>
      <w:r>
        <w:rPr>
          <w:rFonts w:hint="eastAsia" w:ascii="宋体" w:hAnsi="宋体"/>
          <w:sz w:val="30"/>
          <w:szCs w:val="30"/>
          <w:lang w:val="zh-CN"/>
        </w:rPr>
        <w:t>对项目资金申报、批复等情况进行说明（如涉及预算调整，应说明预算调整程序及相关情况），评价其是否符合资金管理办法等相关规定。</w:t>
      </w:r>
    </w:p>
    <w:p>
      <w:pPr>
        <w:adjustRightInd w:val="0"/>
        <w:snapToGrid w:val="0"/>
        <w:spacing w:line="360" w:lineRule="auto"/>
        <w:ind w:firstLine="750" w:firstLineChars="250"/>
        <w:rPr>
          <w:rFonts w:ascii="宋体" w:hAnsi="宋体"/>
          <w:sz w:val="30"/>
          <w:szCs w:val="30"/>
        </w:rPr>
      </w:pPr>
      <w:r>
        <w:rPr>
          <w:rFonts w:hint="eastAsia" w:ascii="宋体" w:hAnsi="宋体"/>
          <w:sz w:val="30"/>
          <w:szCs w:val="30"/>
          <w:lang w:val="zh-CN"/>
        </w:rPr>
        <w:t>为保证</w:t>
      </w:r>
      <w:r>
        <w:rPr>
          <w:rFonts w:hint="eastAsia" w:ascii="宋体" w:hAnsi="宋体"/>
          <w:sz w:val="30"/>
          <w:szCs w:val="30"/>
        </w:rPr>
        <w:t>当地政府在特殊情况下能调得出粮、保证当地市民的口粮。我单位下属国有粮食企业四川</w:t>
      </w:r>
      <w:r>
        <w:rPr>
          <w:rFonts w:hint="eastAsia" w:ascii="宋体" w:hAnsi="宋体"/>
          <w:sz w:val="30"/>
          <w:szCs w:val="30"/>
          <w:lang w:val="en-US" w:eastAsia="zh-CN"/>
        </w:rPr>
        <w:t>省</w:t>
      </w:r>
      <w:r>
        <w:rPr>
          <w:rFonts w:hint="eastAsia" w:ascii="宋体" w:hAnsi="宋体"/>
          <w:sz w:val="30"/>
          <w:szCs w:val="30"/>
        </w:rPr>
        <w:t>广汉国家粮食储备库，根据广粮发【2014】52号文承储市（县）级稻谷2000吨、小麦2000吨；根据广粮发【2014】42号文承储小麦1000吨；通过农发行贷款保证了市级储备粮收购资金的到位。</w:t>
      </w:r>
    </w:p>
    <w:p>
      <w:pPr>
        <w:adjustRightInd w:val="0"/>
        <w:snapToGrid w:val="0"/>
        <w:spacing w:line="360" w:lineRule="auto"/>
        <w:ind w:firstLine="750" w:firstLineChars="250"/>
        <w:rPr>
          <w:rFonts w:ascii="宋体" w:hAnsi="宋体"/>
          <w:szCs w:val="32"/>
          <w:lang w:val="zh-CN"/>
        </w:rPr>
      </w:pPr>
      <w:r>
        <w:rPr>
          <w:rFonts w:hint="eastAsia" w:ascii="宋体" w:hAnsi="宋体"/>
          <w:sz w:val="30"/>
          <w:szCs w:val="30"/>
        </w:rPr>
        <w:t>根据市级储备粮相关文件，市级储备粮保管费用补贴为100元/年/吨，计算2019年全年应收保管费用补贴50万元；储备粮轮换费用稻谷80元/年/吨计算稻谷2019年轮换费为16万元，储备粮小麦40元/年/吨计算小麦轮换费用12万元，合计轮换费为28万元；市级储备粮稻谷、小麦合计贷款金额为1329万元，按农发行同期贷款利率计算，2019年全年支付利息58.61万元。</w:t>
      </w:r>
    </w:p>
    <w:p>
      <w:pPr>
        <w:adjustRightInd w:val="0"/>
        <w:snapToGrid w:val="0"/>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360" w:lineRule="auto"/>
        <w:ind w:firstLine="750" w:firstLineChars="250"/>
        <w:rPr>
          <w:rFonts w:ascii="宋体" w:hAnsi="宋体"/>
          <w:sz w:val="30"/>
          <w:szCs w:val="30"/>
          <w:lang w:val="zh-CN"/>
        </w:rPr>
      </w:pPr>
      <w:r>
        <w:rPr>
          <w:rFonts w:hint="eastAsia" w:ascii="宋体" w:hAnsi="宋体"/>
          <w:sz w:val="30"/>
          <w:szCs w:val="30"/>
          <w:lang w:val="zh-CN"/>
        </w:rPr>
        <w:t>资金计划及到位，2019年8月从农发行广汉市支行借入市储备小麦轮换贷款516.4万元，12月20日借入市储备稻谷轮换贷款550万元。保证了市级储备稻谷、小麦的轮换收购，2019年12月财政拨付市级储备粮各项补贴资金136.61万元全部到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宋体" w:hAnsi="宋体"/>
          <w:sz w:val="30"/>
          <w:szCs w:val="30"/>
          <w:lang w:val="zh-CN"/>
        </w:rPr>
      </w:pPr>
      <w:r>
        <w:rPr>
          <w:rFonts w:hint="eastAsia" w:ascii="宋体" w:hAnsi="宋体"/>
          <w:sz w:val="30"/>
          <w:szCs w:val="30"/>
          <w:lang w:val="zh-CN"/>
        </w:rPr>
        <w:t>承储企业为一家企业，无需要考虑的分配原则。</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360" w:lineRule="auto"/>
        <w:ind w:firstLine="750" w:firstLineChars="250"/>
        <w:rPr>
          <w:rFonts w:ascii="宋体" w:hAnsi="宋体"/>
          <w:sz w:val="30"/>
          <w:szCs w:val="30"/>
        </w:rPr>
      </w:pPr>
      <w:r>
        <w:rPr>
          <w:rFonts w:hint="eastAsia" w:ascii="宋体" w:hAnsi="宋体"/>
          <w:sz w:val="30"/>
          <w:szCs w:val="30"/>
        </w:rPr>
        <w:t>我单位下属国有粮食企业四川</w:t>
      </w:r>
      <w:r>
        <w:rPr>
          <w:rFonts w:hint="eastAsia" w:ascii="宋体" w:hAnsi="宋体"/>
          <w:sz w:val="30"/>
          <w:szCs w:val="30"/>
          <w:lang w:val="en-US" w:eastAsia="zh-CN"/>
        </w:rPr>
        <w:t>省</w:t>
      </w:r>
      <w:r>
        <w:rPr>
          <w:rFonts w:hint="eastAsia" w:ascii="宋体" w:hAnsi="宋体"/>
          <w:sz w:val="30"/>
          <w:szCs w:val="30"/>
        </w:rPr>
        <w:t>广汉国家粮食储备库，根据广粮发【2014】52号文承储市（县）级稻谷2000吨、小麦2000吨；根据广粮发【2014】42号文承储小麦1000吨；通过农发行贷款保证了市级储备粮收购资金的到位。根据市级储备粮相关文件，市级储备粮保管费用补贴为100元/年/吨，计算2019年全年应收保管费用补贴50万元；储备粮轮换费用稻谷80元/年/吨计算稻谷2019年轮换费为16万元，储备粮小麦40元/年/吨计算小麦轮换费用12万元，合计轮换费为28万元；市级储备粮稻谷、小麦合计贷款金额为1329万元，按农发行同期贷款利率计算，2019年全年支付利息58.61万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spacing w:line="360" w:lineRule="auto"/>
        <w:ind w:firstLine="543" w:firstLineChars="181"/>
        <w:rPr>
          <w:rFonts w:ascii="宋体" w:hAnsi="宋体"/>
          <w:sz w:val="30"/>
          <w:szCs w:val="30"/>
        </w:rPr>
      </w:pPr>
      <w:r>
        <w:rPr>
          <w:rFonts w:hint="eastAsia" w:ascii="宋体" w:hAnsi="宋体"/>
          <w:sz w:val="30"/>
          <w:szCs w:val="30"/>
          <w:lang w:val="zh-CN"/>
        </w:rPr>
        <w:t>为保证储备粮的安全性及时效性</w:t>
      </w:r>
      <w:r>
        <w:rPr>
          <w:rFonts w:hint="eastAsia" w:ascii="宋体" w:hAnsi="宋体"/>
          <w:b/>
          <w:sz w:val="30"/>
          <w:szCs w:val="30"/>
          <w:lang w:val="zh-CN"/>
        </w:rPr>
        <w:t>。</w:t>
      </w:r>
      <w:r>
        <w:rPr>
          <w:rFonts w:hint="eastAsia" w:ascii="宋体" w:hAnsi="宋体"/>
          <w:sz w:val="30"/>
          <w:szCs w:val="30"/>
        </w:rPr>
        <w:t>按广发改【2019】29号文下达我库广汉市（县）级储备粮轮换计划，计划轮换小麦2000吨、稻谷2000吨。2019年8月轮出市储备小麦2000吨，2019年9月轮入市储备小麦1000吨，11月轮入小麦1000吨。2019年8月和12月分别轮出市储备稻谷各1000吨,12月轮入稻谷2000吨。并经本单位、农发行等相关单位验收合格。</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仿宋_GB2312" w:hAnsi="宋体" w:eastAsia="仿宋_GB2312"/>
          <w:sz w:val="32"/>
          <w:szCs w:val="32"/>
          <w:lang w:val="zh-CN"/>
        </w:rPr>
      </w:pP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360" w:lineRule="auto"/>
        <w:ind w:firstLine="750" w:firstLineChars="250"/>
        <w:rPr>
          <w:rFonts w:ascii="宋体" w:hAnsi="宋体"/>
          <w:sz w:val="30"/>
          <w:szCs w:val="30"/>
        </w:rPr>
      </w:pPr>
      <w:r>
        <w:rPr>
          <w:rFonts w:hint="eastAsia" w:ascii="宋体" w:hAnsi="宋体"/>
          <w:sz w:val="30"/>
          <w:szCs w:val="30"/>
        </w:rPr>
        <w:t>我单位下属国有粮食企业四川</w:t>
      </w:r>
      <w:r>
        <w:rPr>
          <w:rFonts w:hint="eastAsia" w:ascii="宋体" w:hAnsi="宋体"/>
          <w:sz w:val="30"/>
          <w:szCs w:val="30"/>
          <w:lang w:val="en-US" w:eastAsia="zh-CN"/>
        </w:rPr>
        <w:t>省</w:t>
      </w:r>
      <w:r>
        <w:rPr>
          <w:rFonts w:hint="eastAsia" w:ascii="宋体" w:hAnsi="宋体"/>
          <w:sz w:val="30"/>
          <w:szCs w:val="30"/>
        </w:rPr>
        <w:t>广汉国家粮食储备库，根据广粮发【2014】52号文承储市（县）级稻谷2000吨、小麦2000吨；根据广粮发【2014】42号文承储小麦1000吨；通过农发行贷款保证了市级储备粮收购资金的到位，年初预算安排136.61万元，无预算调整等程序。</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360" w:lineRule="auto"/>
        <w:ind w:firstLine="750" w:firstLineChars="250"/>
        <w:rPr>
          <w:rFonts w:ascii="宋体" w:hAnsi="宋体"/>
          <w:sz w:val="30"/>
          <w:szCs w:val="30"/>
          <w:lang w:val="zh-CN"/>
        </w:rPr>
      </w:pPr>
      <w:r>
        <w:rPr>
          <w:rFonts w:hint="eastAsia" w:ascii="宋体" w:hAnsi="宋体"/>
          <w:sz w:val="30"/>
          <w:szCs w:val="30"/>
          <w:lang w:val="zh-CN"/>
        </w:rPr>
        <w:t>资金计划及到位，2019年8月从农发行广汉市支行借入市储备小麦轮换贷款516.4万元，12月20日借入市储备稻谷轮换贷款550万元。保证了市级储备稻谷、小麦的轮换收购，2019年12月财政拨付市级储备粮各项补贴资金136.61万元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w:t>
      </w:r>
      <w:bookmarkStart w:id="73" w:name="_GoBack"/>
      <w:bookmarkEnd w:id="73"/>
      <w:r>
        <w:rPr>
          <w:rFonts w:hint="eastAsia" w:ascii="仿宋_GB2312" w:hAnsi="宋体" w:eastAsia="仿宋_GB2312"/>
          <w:sz w:val="32"/>
          <w:szCs w:val="32"/>
          <w:lang w:val="zh-CN"/>
        </w:rPr>
        <w:t>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360" w:lineRule="auto"/>
        <w:ind w:firstLine="750" w:firstLineChars="250"/>
        <w:rPr>
          <w:rFonts w:ascii="宋体" w:hAnsi="宋体"/>
          <w:sz w:val="30"/>
          <w:szCs w:val="30"/>
          <w:lang w:val="zh-CN"/>
        </w:rPr>
      </w:pPr>
      <w:r>
        <w:rPr>
          <w:rFonts w:hint="eastAsia" w:ascii="宋体" w:hAnsi="宋体"/>
          <w:sz w:val="30"/>
          <w:szCs w:val="30"/>
          <w:lang w:val="zh-CN"/>
        </w:rPr>
        <w:t>资金计划及到位，2019年8月从农发行广汉市支行借入市储备小麦轮换贷款516.4万元，12月20日借入市储备稻谷轮换贷款550万元。保证了市级储备稻谷、小麦的轮换收购，2019年12月财政拨付市级储备粮各项补贴资金136.61万元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360" w:lineRule="auto"/>
        <w:ind w:firstLine="750" w:firstLineChars="250"/>
        <w:rPr>
          <w:rFonts w:ascii="宋体" w:hAnsi="宋体"/>
          <w:sz w:val="30"/>
          <w:szCs w:val="30"/>
          <w:lang w:val="zh-CN"/>
        </w:rPr>
      </w:pPr>
      <w:r>
        <w:rPr>
          <w:rFonts w:hint="eastAsia" w:ascii="宋体" w:hAnsi="宋体"/>
          <w:sz w:val="30"/>
          <w:szCs w:val="30"/>
          <w:lang w:val="zh-CN"/>
        </w:rPr>
        <w:t>资金计划及到位，2019年8月从农发行广汉市支行借入市储备小麦轮换贷款516.4万元，12月20日借入市储备稻谷轮换贷款550万元。保证了市级储备稻谷、小麦的轮换收购，2019年12月财政拨付市级储备粮各项补贴资金136.61万元全部到位。</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560" w:lineRule="exact"/>
        <w:ind w:firstLine="720"/>
        <w:rPr>
          <w:rFonts w:ascii="宋体" w:hAnsi="宋体"/>
          <w:sz w:val="30"/>
          <w:szCs w:val="30"/>
          <w:lang w:val="zh-CN"/>
        </w:rPr>
      </w:pPr>
      <w:r>
        <w:rPr>
          <w:rFonts w:hint="eastAsia" w:ascii="宋体" w:hAnsi="宋体"/>
          <w:sz w:val="30"/>
          <w:szCs w:val="30"/>
          <w:lang w:val="zh-CN"/>
        </w:rPr>
        <w:t>为加强和完善项目资金管理，保证项目资金合理使用，项目实施单位制定了专项资金管理制度，包括：专项资金报账流程、专项资金内部控制制度、费用报销管理制度、财务内部控制制度等。严格执行了项目资金管理办法及财务管理制度，财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宋体" w:hAnsi="宋体"/>
          <w:sz w:val="30"/>
          <w:szCs w:val="30"/>
          <w:lang w:val="zh-CN"/>
        </w:rPr>
      </w:pPr>
      <w:r>
        <w:rPr>
          <w:rFonts w:hint="eastAsia" w:ascii="宋体" w:hAnsi="宋体"/>
          <w:sz w:val="30"/>
          <w:szCs w:val="30"/>
          <w:lang w:val="zh-CN"/>
        </w:rPr>
        <w:t>因该项目的特殊性，按工作职能及常规性，预算安排、年末拨付。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宋体" w:hAnsi="宋体"/>
          <w:sz w:val="30"/>
          <w:szCs w:val="30"/>
          <w:lang w:val="zh-CN"/>
        </w:rPr>
      </w:pPr>
      <w:r>
        <w:rPr>
          <w:rFonts w:hint="eastAsia" w:ascii="宋体" w:hAnsi="宋体"/>
          <w:sz w:val="30"/>
          <w:szCs w:val="30"/>
          <w:lang w:val="zh-CN"/>
        </w:rPr>
        <w:t>按照我局的工作职能，结合项目的特点，项目实施的单位在执行中严格按照相关法规及项目管理制度等情况，完成日常工作中加强对项目管理与监督，定期下承储企业检查市级储备粮的数量、质量，并督促企业完成储备任务。</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宋体" w:hAnsi="宋体"/>
          <w:sz w:val="30"/>
          <w:szCs w:val="30"/>
          <w:lang w:val="zh-CN"/>
        </w:rPr>
      </w:pPr>
      <w:r>
        <w:rPr>
          <w:rFonts w:hint="eastAsia" w:ascii="宋体" w:hAnsi="宋体"/>
          <w:sz w:val="30"/>
          <w:szCs w:val="30"/>
          <w:lang w:val="zh-CN"/>
        </w:rPr>
        <w:t>按照我局的工作职能，日常工作中加强对项目管理与监督，定期下承储企业检查市级储备粮的数量、质量，很好的督促企业完成储备任务。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360" w:lineRule="auto"/>
        <w:ind w:firstLine="600" w:firstLineChars="200"/>
        <w:rPr>
          <w:rFonts w:ascii="宋体" w:hAnsi="宋体"/>
          <w:sz w:val="30"/>
          <w:szCs w:val="30"/>
          <w:lang w:val="zh-CN"/>
        </w:rPr>
      </w:pPr>
      <w:r>
        <w:rPr>
          <w:rFonts w:hint="eastAsia" w:ascii="宋体" w:hAnsi="宋体"/>
          <w:sz w:val="30"/>
          <w:szCs w:val="30"/>
          <w:lang w:val="zh-CN"/>
        </w:rPr>
        <w:t>2019年10月我单位申报广汉市（县）级储备粮各项利费补贴合计136.61万元。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360" w:lineRule="auto"/>
        <w:ind w:firstLine="720"/>
        <w:rPr>
          <w:rFonts w:ascii="宋体" w:hAnsi="宋体"/>
          <w:sz w:val="30"/>
          <w:szCs w:val="30"/>
          <w:lang w:val="zh-CN"/>
        </w:rPr>
      </w:pPr>
      <w:r>
        <w:rPr>
          <w:rFonts w:hint="eastAsia" w:ascii="宋体" w:hAnsi="宋体"/>
          <w:sz w:val="30"/>
          <w:szCs w:val="30"/>
          <w:lang w:val="zh-CN"/>
        </w:rPr>
        <w:t>1.社会效益。该项目实施市级储备稻谷、小麦的储备，能保证在自然灾害等特殊情况下当地市民的口粮问题。</w:t>
      </w:r>
    </w:p>
    <w:p>
      <w:pPr>
        <w:adjustRightInd w:val="0"/>
        <w:snapToGrid w:val="0"/>
        <w:spacing w:line="360" w:lineRule="auto"/>
        <w:ind w:firstLine="720"/>
        <w:rPr>
          <w:rFonts w:ascii="宋体" w:hAnsi="宋体"/>
          <w:sz w:val="30"/>
          <w:szCs w:val="30"/>
          <w:lang w:val="zh-CN"/>
        </w:rPr>
      </w:pPr>
      <w:r>
        <w:rPr>
          <w:rFonts w:hint="eastAsia" w:ascii="宋体" w:hAnsi="宋体"/>
          <w:sz w:val="30"/>
          <w:szCs w:val="30"/>
          <w:lang w:val="zh-CN"/>
        </w:rPr>
        <w:t>2.经济效益。项目完成后，保障企业通过利费补贴的拨付，及时补贴企业在完成该项目中所产生的保管费、轮换费等费用，使承储企业增加一定的经济效益。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600" w:firstLineChars="200"/>
        <w:rPr>
          <w:rFonts w:ascii="宋体" w:hAnsi="宋体"/>
          <w:sz w:val="30"/>
          <w:szCs w:val="30"/>
          <w:lang w:val="zh-CN"/>
        </w:rPr>
      </w:pPr>
      <w:r>
        <w:rPr>
          <w:rFonts w:hint="eastAsia" w:ascii="宋体" w:hAnsi="宋体"/>
          <w:sz w:val="30"/>
          <w:szCs w:val="30"/>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adjustRightInd w:val="0"/>
        <w:snapToGrid w:val="0"/>
        <w:spacing w:line="600" w:lineRule="exact"/>
        <w:ind w:firstLine="600" w:firstLineChars="200"/>
        <w:rPr>
          <w:rFonts w:ascii="宋体" w:hAnsi="宋体"/>
          <w:sz w:val="30"/>
          <w:szCs w:val="30"/>
          <w:lang w:val="zh-CN"/>
        </w:rPr>
      </w:pPr>
      <w:r>
        <w:rPr>
          <w:rFonts w:hint="eastAsia" w:ascii="宋体" w:hAnsi="宋体"/>
          <w:sz w:val="30"/>
          <w:szCs w:val="30"/>
          <w:lang w:val="zh-CN"/>
        </w:rPr>
        <w:t>无</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DQ0M2E3YjdjMWNmYzk0YmYxYmM0OTU5NjNjYmEifQ=="/>
  </w:docVars>
  <w:rsids>
    <w:rsidRoot w:val="00F1361C"/>
    <w:rsid w:val="00017C70"/>
    <w:rsid w:val="000222C6"/>
    <w:rsid w:val="0002549F"/>
    <w:rsid w:val="000468DB"/>
    <w:rsid w:val="00051C5C"/>
    <w:rsid w:val="0006487A"/>
    <w:rsid w:val="00065F8F"/>
    <w:rsid w:val="00070A43"/>
    <w:rsid w:val="00070D68"/>
    <w:rsid w:val="000768F2"/>
    <w:rsid w:val="0009184B"/>
    <w:rsid w:val="00094236"/>
    <w:rsid w:val="0009593C"/>
    <w:rsid w:val="00097322"/>
    <w:rsid w:val="000A6A92"/>
    <w:rsid w:val="000B047F"/>
    <w:rsid w:val="000B46FE"/>
    <w:rsid w:val="000B5923"/>
    <w:rsid w:val="000B5A48"/>
    <w:rsid w:val="000B6FF3"/>
    <w:rsid w:val="000C3467"/>
    <w:rsid w:val="000C3CA6"/>
    <w:rsid w:val="000D1267"/>
    <w:rsid w:val="000D1D50"/>
    <w:rsid w:val="000D5782"/>
    <w:rsid w:val="000E6613"/>
    <w:rsid w:val="000E7119"/>
    <w:rsid w:val="0011213E"/>
    <w:rsid w:val="00114E9B"/>
    <w:rsid w:val="00120CE2"/>
    <w:rsid w:val="00130956"/>
    <w:rsid w:val="00142216"/>
    <w:rsid w:val="00144D6A"/>
    <w:rsid w:val="0014729F"/>
    <w:rsid w:val="00157BAB"/>
    <w:rsid w:val="001654D1"/>
    <w:rsid w:val="00174518"/>
    <w:rsid w:val="0018106D"/>
    <w:rsid w:val="001877A7"/>
    <w:rsid w:val="00191536"/>
    <w:rsid w:val="00196687"/>
    <w:rsid w:val="001A5695"/>
    <w:rsid w:val="001C0962"/>
    <w:rsid w:val="001D7531"/>
    <w:rsid w:val="001E4BCB"/>
    <w:rsid w:val="001E737D"/>
    <w:rsid w:val="001F0592"/>
    <w:rsid w:val="001F7506"/>
    <w:rsid w:val="002006CD"/>
    <w:rsid w:val="00202B36"/>
    <w:rsid w:val="00204B7A"/>
    <w:rsid w:val="00204CDE"/>
    <w:rsid w:val="002065CC"/>
    <w:rsid w:val="0021101A"/>
    <w:rsid w:val="00220536"/>
    <w:rsid w:val="00235629"/>
    <w:rsid w:val="00251CC4"/>
    <w:rsid w:val="00260C38"/>
    <w:rsid w:val="002616C0"/>
    <w:rsid w:val="00265372"/>
    <w:rsid w:val="002662AA"/>
    <w:rsid w:val="00280496"/>
    <w:rsid w:val="002940BF"/>
    <w:rsid w:val="00294DC9"/>
    <w:rsid w:val="00295495"/>
    <w:rsid w:val="00296712"/>
    <w:rsid w:val="002A0685"/>
    <w:rsid w:val="002A31DE"/>
    <w:rsid w:val="002B2613"/>
    <w:rsid w:val="002D19B0"/>
    <w:rsid w:val="002D6D05"/>
    <w:rsid w:val="002F1818"/>
    <w:rsid w:val="002F567B"/>
    <w:rsid w:val="00311721"/>
    <w:rsid w:val="003216A9"/>
    <w:rsid w:val="00333423"/>
    <w:rsid w:val="00335A74"/>
    <w:rsid w:val="0036561B"/>
    <w:rsid w:val="0037013F"/>
    <w:rsid w:val="00380C92"/>
    <w:rsid w:val="0038510B"/>
    <w:rsid w:val="00395EEE"/>
    <w:rsid w:val="003A484F"/>
    <w:rsid w:val="003A4883"/>
    <w:rsid w:val="003B0BE0"/>
    <w:rsid w:val="003B0C1B"/>
    <w:rsid w:val="003B60C8"/>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50DAE"/>
    <w:rsid w:val="004616E7"/>
    <w:rsid w:val="00471401"/>
    <w:rsid w:val="00473F31"/>
    <w:rsid w:val="0048263A"/>
    <w:rsid w:val="00487E5D"/>
    <w:rsid w:val="004A711F"/>
    <w:rsid w:val="004B199D"/>
    <w:rsid w:val="004B4690"/>
    <w:rsid w:val="004E0A2D"/>
    <w:rsid w:val="004E206B"/>
    <w:rsid w:val="004E6DF7"/>
    <w:rsid w:val="004F0FBD"/>
    <w:rsid w:val="004F403E"/>
    <w:rsid w:val="005048B6"/>
    <w:rsid w:val="00505A47"/>
    <w:rsid w:val="005064F1"/>
    <w:rsid w:val="00512FDA"/>
    <w:rsid w:val="00520DA0"/>
    <w:rsid w:val="005531D0"/>
    <w:rsid w:val="005664BB"/>
    <w:rsid w:val="00566FFA"/>
    <w:rsid w:val="0057481D"/>
    <w:rsid w:val="00575F0B"/>
    <w:rsid w:val="0058486E"/>
    <w:rsid w:val="00585B33"/>
    <w:rsid w:val="0059014D"/>
    <w:rsid w:val="005B06F9"/>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65535"/>
    <w:rsid w:val="006748A4"/>
    <w:rsid w:val="00681A31"/>
    <w:rsid w:val="00683E73"/>
    <w:rsid w:val="006A3141"/>
    <w:rsid w:val="006A5E34"/>
    <w:rsid w:val="006B2422"/>
    <w:rsid w:val="006B2B9A"/>
    <w:rsid w:val="006C1937"/>
    <w:rsid w:val="006D2565"/>
    <w:rsid w:val="006F020C"/>
    <w:rsid w:val="007127B7"/>
    <w:rsid w:val="00712BEB"/>
    <w:rsid w:val="0071798E"/>
    <w:rsid w:val="007208DC"/>
    <w:rsid w:val="00727533"/>
    <w:rsid w:val="00730888"/>
    <w:rsid w:val="007416B6"/>
    <w:rsid w:val="00746F48"/>
    <w:rsid w:val="0075404D"/>
    <w:rsid w:val="0076182A"/>
    <w:rsid w:val="00767B7E"/>
    <w:rsid w:val="007770C3"/>
    <w:rsid w:val="00784D24"/>
    <w:rsid w:val="00785FBA"/>
    <w:rsid w:val="00786E4A"/>
    <w:rsid w:val="007875EB"/>
    <w:rsid w:val="0079426B"/>
    <w:rsid w:val="007D1682"/>
    <w:rsid w:val="007D2DE8"/>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1CCA"/>
    <w:rsid w:val="00871F71"/>
    <w:rsid w:val="00872FD8"/>
    <w:rsid w:val="00885AF4"/>
    <w:rsid w:val="008939CD"/>
    <w:rsid w:val="008B2EE5"/>
    <w:rsid w:val="008B768C"/>
    <w:rsid w:val="008C4DB1"/>
    <w:rsid w:val="008C4EAF"/>
    <w:rsid w:val="008C5176"/>
    <w:rsid w:val="008C7FD0"/>
    <w:rsid w:val="008E1DE7"/>
    <w:rsid w:val="008E707C"/>
    <w:rsid w:val="00900B08"/>
    <w:rsid w:val="00902155"/>
    <w:rsid w:val="00902FA3"/>
    <w:rsid w:val="009211AE"/>
    <w:rsid w:val="00923564"/>
    <w:rsid w:val="0092392E"/>
    <w:rsid w:val="009315F9"/>
    <w:rsid w:val="00933499"/>
    <w:rsid w:val="00935C98"/>
    <w:rsid w:val="00946945"/>
    <w:rsid w:val="00951248"/>
    <w:rsid w:val="0095152F"/>
    <w:rsid w:val="00954C31"/>
    <w:rsid w:val="00954C49"/>
    <w:rsid w:val="00955E37"/>
    <w:rsid w:val="0097099F"/>
    <w:rsid w:val="00971997"/>
    <w:rsid w:val="00971FFC"/>
    <w:rsid w:val="009838BD"/>
    <w:rsid w:val="00985B80"/>
    <w:rsid w:val="0098660A"/>
    <w:rsid w:val="009931C3"/>
    <w:rsid w:val="009B2C43"/>
    <w:rsid w:val="009B4EAE"/>
    <w:rsid w:val="009B7573"/>
    <w:rsid w:val="009C22F4"/>
    <w:rsid w:val="009C2E98"/>
    <w:rsid w:val="009C37FB"/>
    <w:rsid w:val="009D3447"/>
    <w:rsid w:val="009D4711"/>
    <w:rsid w:val="009F1185"/>
    <w:rsid w:val="009F18CD"/>
    <w:rsid w:val="009F2A13"/>
    <w:rsid w:val="009F7527"/>
    <w:rsid w:val="009F7DA9"/>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325F"/>
    <w:rsid w:val="00A91760"/>
    <w:rsid w:val="00A93B00"/>
    <w:rsid w:val="00A93C21"/>
    <w:rsid w:val="00AB64C9"/>
    <w:rsid w:val="00AC3C6A"/>
    <w:rsid w:val="00AD0F83"/>
    <w:rsid w:val="00AD5620"/>
    <w:rsid w:val="00AD656B"/>
    <w:rsid w:val="00AD7C1B"/>
    <w:rsid w:val="00AE16BA"/>
    <w:rsid w:val="00AE1EBE"/>
    <w:rsid w:val="00AE4A3F"/>
    <w:rsid w:val="00B03C9D"/>
    <w:rsid w:val="00B060AE"/>
    <w:rsid w:val="00B10517"/>
    <w:rsid w:val="00B14E76"/>
    <w:rsid w:val="00B161B8"/>
    <w:rsid w:val="00B2048C"/>
    <w:rsid w:val="00B310B9"/>
    <w:rsid w:val="00B35F3F"/>
    <w:rsid w:val="00B36CBB"/>
    <w:rsid w:val="00B4224F"/>
    <w:rsid w:val="00B425E0"/>
    <w:rsid w:val="00B440AA"/>
    <w:rsid w:val="00B44B70"/>
    <w:rsid w:val="00B53C56"/>
    <w:rsid w:val="00B57DAF"/>
    <w:rsid w:val="00B77036"/>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35890"/>
    <w:rsid w:val="00C42709"/>
    <w:rsid w:val="00C4579A"/>
    <w:rsid w:val="00C533CC"/>
    <w:rsid w:val="00C5751C"/>
    <w:rsid w:val="00C61BFC"/>
    <w:rsid w:val="00C62B85"/>
    <w:rsid w:val="00C65438"/>
    <w:rsid w:val="00C91CBB"/>
    <w:rsid w:val="00C947CB"/>
    <w:rsid w:val="00CB1661"/>
    <w:rsid w:val="00CB4E70"/>
    <w:rsid w:val="00CC09B6"/>
    <w:rsid w:val="00CC34C7"/>
    <w:rsid w:val="00CC666F"/>
    <w:rsid w:val="00CD1E3F"/>
    <w:rsid w:val="00CE44F6"/>
    <w:rsid w:val="00CE49DA"/>
    <w:rsid w:val="00CE7B61"/>
    <w:rsid w:val="00CF2589"/>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208BB"/>
    <w:rsid w:val="00E331A1"/>
    <w:rsid w:val="00E33202"/>
    <w:rsid w:val="00E336A9"/>
    <w:rsid w:val="00E472B1"/>
    <w:rsid w:val="00E478DA"/>
    <w:rsid w:val="00E50624"/>
    <w:rsid w:val="00E568DF"/>
    <w:rsid w:val="00E64269"/>
    <w:rsid w:val="00E66797"/>
    <w:rsid w:val="00E705FE"/>
    <w:rsid w:val="00E725F5"/>
    <w:rsid w:val="00E82267"/>
    <w:rsid w:val="00E853CE"/>
    <w:rsid w:val="00E867B6"/>
    <w:rsid w:val="00E87F08"/>
    <w:rsid w:val="00E93FB3"/>
    <w:rsid w:val="00EA010F"/>
    <w:rsid w:val="00ED1B63"/>
    <w:rsid w:val="00ED3C1F"/>
    <w:rsid w:val="00ED4085"/>
    <w:rsid w:val="00ED420E"/>
    <w:rsid w:val="00ED6FBE"/>
    <w:rsid w:val="00EE2F57"/>
    <w:rsid w:val="00EF4C34"/>
    <w:rsid w:val="00EF77C6"/>
    <w:rsid w:val="00F05438"/>
    <w:rsid w:val="00F1361C"/>
    <w:rsid w:val="00F156F0"/>
    <w:rsid w:val="00F160C7"/>
    <w:rsid w:val="00F2384E"/>
    <w:rsid w:val="00F2408F"/>
    <w:rsid w:val="00F240E9"/>
    <w:rsid w:val="00F36D8F"/>
    <w:rsid w:val="00F417B1"/>
    <w:rsid w:val="00F45853"/>
    <w:rsid w:val="00F602DF"/>
    <w:rsid w:val="00F62E7A"/>
    <w:rsid w:val="00F754A1"/>
    <w:rsid w:val="00F81F0F"/>
    <w:rsid w:val="00F81FD9"/>
    <w:rsid w:val="00F8392F"/>
    <w:rsid w:val="00F841AA"/>
    <w:rsid w:val="00F84A94"/>
    <w:rsid w:val="00F87E96"/>
    <w:rsid w:val="00F91CF8"/>
    <w:rsid w:val="00FA23E8"/>
    <w:rsid w:val="00FD3CC1"/>
    <w:rsid w:val="00FF0125"/>
    <w:rsid w:val="00FF1E02"/>
    <w:rsid w:val="00FF30B4"/>
    <w:rsid w:val="10385799"/>
    <w:rsid w:val="10C055FF"/>
    <w:rsid w:val="16BB723D"/>
    <w:rsid w:val="240371BF"/>
    <w:rsid w:val="29FD04D3"/>
    <w:rsid w:val="319F7F4E"/>
    <w:rsid w:val="47D72DED"/>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elete val="1"/>
          </c:dLbls>
          <c:cat>
            <c:numRef>
              <c:f>Sheet1!$A$2:$A$5</c:f>
              <c:numCache>
                <c:formatCode>General</c:formatCode>
                <c:ptCount val="4"/>
                <c:pt idx="0">
                  <c:v>2018</c:v>
                </c:pt>
                <c:pt idx="1">
                  <c:v>2019</c:v>
                </c:pt>
              </c:numCache>
            </c:numRef>
          </c:cat>
          <c:val>
            <c:numRef>
              <c:f>Sheet1!$B$2:$B$5</c:f>
              <c:numCache>
                <c:formatCode>General</c:formatCode>
                <c:ptCount val="4"/>
                <c:pt idx="0">
                  <c:v>3170.13</c:v>
                </c:pt>
                <c:pt idx="1">
                  <c:v>2882.1</c:v>
                </c:pt>
              </c:numCache>
            </c:numRef>
          </c:val>
        </c:ser>
        <c:ser>
          <c:idx val="1"/>
          <c:order val="1"/>
          <c:tx>
            <c:strRef>
              <c:f>Sheet1!$C$1</c:f>
              <c:strCache>
                <c:ptCount val="1"/>
                <c:pt idx="0">
                  <c:v>支出</c:v>
                </c:pt>
              </c:strCache>
            </c:strRef>
          </c:tx>
          <c:invertIfNegative val="0"/>
          <c:dLbls>
            <c:delete val="1"/>
          </c:dLbls>
          <c:cat>
            <c:numRef>
              <c:f>Sheet1!$A$2:$A$5</c:f>
              <c:numCache>
                <c:formatCode>General</c:formatCode>
                <c:ptCount val="4"/>
                <c:pt idx="0">
                  <c:v>2018</c:v>
                </c:pt>
                <c:pt idx="1">
                  <c:v>2019</c:v>
                </c:pt>
              </c:numCache>
            </c:numRef>
          </c:cat>
          <c:val>
            <c:numRef>
              <c:f>Sheet1!$C$2:$C$5</c:f>
              <c:numCache>
                <c:formatCode>General</c:formatCode>
                <c:ptCount val="4"/>
                <c:pt idx="0">
                  <c:v>5453.76</c:v>
                </c:pt>
                <c:pt idx="1">
                  <c:v>3360.45</c:v>
                </c:pt>
              </c:numCache>
            </c:numRef>
          </c:val>
        </c:ser>
        <c:ser>
          <c:idx val="2"/>
          <c:order val="2"/>
          <c:tx>
            <c:strRef>
              <c:f>Sheet1!$D$1</c:f>
              <c:strCache>
                <c:ptCount val="1"/>
                <c:pt idx="0">
                  <c:v>列1</c:v>
                </c:pt>
              </c:strCache>
            </c:strRef>
          </c:tx>
          <c:invertIfNegative val="0"/>
          <c:dLbls>
            <c:delete val="1"/>
          </c:dLbls>
          <c:cat>
            <c:numRef>
              <c:f>Sheet1!$A$2:$A$5</c:f>
              <c:numCache>
                <c:formatCode>General</c:formatCode>
                <c:ptCount val="4"/>
                <c:pt idx="0">
                  <c:v>2018</c:v>
                </c:pt>
                <c:pt idx="1">
                  <c:v>2019</c:v>
                </c:pt>
              </c:numCache>
            </c:numRef>
          </c:cat>
          <c:val>
            <c:numRef>
              <c:f>Sheet1!$D$2:$D$5</c:f>
              <c:numCache>
                <c:formatCode>General</c:formatCode>
                <c:ptCount val="4"/>
              </c:numCache>
            </c:numRef>
          </c:val>
        </c:ser>
        <c:dLbls>
          <c:showLegendKey val="0"/>
          <c:showVal val="0"/>
          <c:showCatName val="0"/>
          <c:showSerName val="0"/>
          <c:showPercent val="0"/>
          <c:showBubbleSize val="0"/>
        </c:dLbls>
        <c:gapWidth val="150"/>
        <c:axId val="125500032"/>
        <c:axId val="125542784"/>
      </c:barChart>
      <c:catAx>
        <c:axId val="12550003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542784"/>
        <c:crosses val="autoZero"/>
        <c:auto val="1"/>
        <c:lblAlgn val="ctr"/>
        <c:lblOffset val="100"/>
        <c:noMultiLvlLbl val="0"/>
      </c:catAx>
      <c:valAx>
        <c:axId val="125542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500032"/>
        <c:crosses val="autoZero"/>
        <c:crossBetween val="between"/>
      </c:valAx>
      <c:spPr>
        <a:solidFill>
          <a:schemeClr val="bg1"/>
        </a:solidFill>
        <a:ln>
          <a:noFill/>
        </a:ln>
        <a:effectLst/>
      </c:spPr>
    </c:plotArea>
    <c:legend>
      <c:legendPos val="r"/>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2019支出（万元）</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一般公共服务</c:v>
                </c:pt>
                <c:pt idx="1">
                  <c:v>社会保障和就业</c:v>
                </c:pt>
                <c:pt idx="2">
                  <c:v>卫生健康</c:v>
                </c:pt>
                <c:pt idx="3">
                  <c:v>住房保障 </c:v>
                </c:pt>
                <c:pt idx="4">
                  <c:v>粮油物资储备</c:v>
                </c:pt>
                <c:pt idx="5">
                  <c:v>其他支出</c:v>
                </c:pt>
              </c:strCache>
            </c:strRef>
          </c:cat>
          <c:val>
            <c:numRef>
              <c:f>Sheet1!$B$2:$B$7</c:f>
              <c:numCache>
                <c:formatCode>General</c:formatCode>
                <c:ptCount val="6"/>
                <c:pt idx="0">
                  <c:v>1397.58</c:v>
                </c:pt>
                <c:pt idx="1">
                  <c:v>192.63</c:v>
                </c:pt>
                <c:pt idx="2">
                  <c:v>43.29</c:v>
                </c:pt>
                <c:pt idx="3">
                  <c:v>56.72</c:v>
                </c:pt>
                <c:pt idx="4">
                  <c:v>373.54</c:v>
                </c:pt>
                <c:pt idx="5">
                  <c:v>10</c:v>
                </c:pt>
              </c:numCache>
            </c:numRef>
          </c:val>
        </c:ser>
        <c:ser>
          <c:idx val="1"/>
          <c:order val="1"/>
          <c:tx>
            <c:strRef>
              <c:f>Sheet1!$C$1</c:f>
              <c:strCache>
                <c:ptCount val="1"/>
                <c:pt idx="0">
                  <c:v>列1</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一般公共服务</c:v>
                </c:pt>
                <c:pt idx="1">
                  <c:v>社会保障和就业</c:v>
                </c:pt>
                <c:pt idx="2">
                  <c:v>卫生健康</c:v>
                </c:pt>
                <c:pt idx="3">
                  <c:v>住房保障 </c:v>
                </c:pt>
                <c:pt idx="4">
                  <c:v>粮油物资储备</c:v>
                </c:pt>
                <c:pt idx="5">
                  <c:v>其他支出</c:v>
                </c:pt>
              </c:strCache>
            </c:strRef>
          </c:cat>
          <c:val>
            <c:numRef>
              <c:f>Sheet1!$C$2:$C$7</c:f>
              <c:numCache>
                <c:formatCode>General</c:formatCode>
                <c:ptCount val="6"/>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2019支出（万元）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Sheet1!$A$2:$A$12</c:f>
              <c:strCache>
                <c:ptCount val="7"/>
                <c:pt idx="0">
                  <c:v>一般公共服务</c:v>
                </c:pt>
                <c:pt idx="1">
                  <c:v>社会保障就业</c:v>
                </c:pt>
                <c:pt idx="2">
                  <c:v>卫生健康</c:v>
                </c:pt>
                <c:pt idx="3">
                  <c:v>住房保障</c:v>
                </c:pt>
                <c:pt idx="4">
                  <c:v>金融支出</c:v>
                </c:pt>
                <c:pt idx="5">
                  <c:v>粮油物资储备</c:v>
                </c:pt>
                <c:pt idx="6">
                  <c:v>其他支出</c:v>
                </c:pt>
              </c:strCache>
            </c:strRef>
          </c:cat>
          <c:val>
            <c:numRef>
              <c:f>Sheet1!$B$2:$B$12</c:f>
              <c:numCache>
                <c:formatCode>General</c:formatCode>
                <c:ptCount val="11"/>
                <c:pt idx="0">
                  <c:v>1458.14</c:v>
                </c:pt>
                <c:pt idx="1">
                  <c:v>200.2</c:v>
                </c:pt>
                <c:pt idx="2">
                  <c:v>43.3</c:v>
                </c:pt>
                <c:pt idx="3">
                  <c:v>56.72</c:v>
                </c:pt>
                <c:pt idx="4">
                  <c:v>160.36</c:v>
                </c:pt>
                <c:pt idx="5">
                  <c:v>1435.73</c:v>
                </c:pt>
                <c:pt idx="6">
                  <c:v>6</c:v>
                </c:pt>
              </c:numCache>
            </c:numRef>
          </c:val>
        </c:ser>
        <c:dLbls>
          <c:showLegendKey val="0"/>
          <c:showVal val="1"/>
          <c:showCatName val="0"/>
          <c:showSerName val="0"/>
          <c:showPercent val="1"/>
          <c:showBubbleSize val="0"/>
          <c:showLeaderLines val="1"/>
        </c:dLbls>
        <c:firstSliceAng val="0"/>
      </c:pieChart>
    </c:plotArea>
    <c:legend>
      <c:legendPos val="r"/>
      <c:legendEntry>
        <c:idx val="7"/>
        <c:delete val="1"/>
      </c:legendEntry>
      <c:legendEntry>
        <c:idx val="8"/>
        <c:delete val="1"/>
      </c:legendEntry>
      <c:legendEntry>
        <c:idx val="9"/>
        <c:delete val="1"/>
      </c:legendEntry>
      <c:legendEntry>
        <c:idx val="10"/>
        <c:delete val="1"/>
      </c:legendEntry>
      <c:layout>
        <c:manualLayout>
          <c:xMode val="edge"/>
          <c:yMode val="edge"/>
          <c:x val="0.75971055909373"/>
          <c:y val="0.193608966340465"/>
          <c:w val="0.22291587294313"/>
          <c:h val="0.76305760063662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c:v>
                </c:pt>
              </c:strCache>
            </c:strRef>
          </c:tx>
          <c:invertIfNegative val="0"/>
          <c:dLbls>
            <c:delete val="1"/>
          </c:dLbls>
          <c:cat>
            <c:strRef>
              <c:f>Sheet1!$A$2:$A$5</c:f>
              <c:strCache>
                <c:ptCount val="2"/>
                <c:pt idx="0">
                  <c:v>收入</c:v>
                </c:pt>
                <c:pt idx="1">
                  <c:v>支出</c:v>
                </c:pt>
              </c:strCache>
            </c:strRef>
          </c:cat>
          <c:val>
            <c:numRef>
              <c:f>Sheet1!$B$2:$B$5</c:f>
              <c:numCache>
                <c:formatCode>General</c:formatCode>
                <c:ptCount val="4"/>
                <c:pt idx="0">
                  <c:v>3170.13</c:v>
                </c:pt>
                <c:pt idx="1">
                  <c:v>2882.1</c:v>
                </c:pt>
              </c:numCache>
            </c:numRef>
          </c:val>
        </c:ser>
        <c:ser>
          <c:idx val="1"/>
          <c:order val="1"/>
          <c:tx>
            <c:strRef>
              <c:f>Sheet1!$C$1</c:f>
              <c:strCache>
                <c:ptCount val="1"/>
                <c:pt idx="0">
                  <c:v>2019</c:v>
                </c:pt>
              </c:strCache>
            </c:strRef>
          </c:tx>
          <c:invertIfNegative val="0"/>
          <c:dLbls>
            <c:delete val="1"/>
          </c:dLbls>
          <c:cat>
            <c:strRef>
              <c:f>Sheet1!$A$2:$A$5</c:f>
              <c:strCache>
                <c:ptCount val="2"/>
                <c:pt idx="0">
                  <c:v>收入</c:v>
                </c:pt>
                <c:pt idx="1">
                  <c:v>支出</c:v>
                </c:pt>
              </c:strCache>
            </c:strRef>
          </c:cat>
          <c:val>
            <c:numRef>
              <c:f>Sheet1!$C$2:$C$5</c:f>
              <c:numCache>
                <c:formatCode>General</c:formatCode>
                <c:ptCount val="4"/>
                <c:pt idx="0">
                  <c:v>5453.76</c:v>
                </c:pt>
                <c:pt idx="1">
                  <c:v>3360.45</c:v>
                </c:pt>
              </c:numCache>
            </c:numRef>
          </c:val>
        </c:ser>
        <c:ser>
          <c:idx val="2"/>
          <c:order val="2"/>
          <c:tx>
            <c:strRef>
              <c:f>Sheet1!$D$1</c:f>
              <c:strCache>
                <c:ptCount val="1"/>
                <c:pt idx="0">
                  <c:v>列1</c:v>
                </c:pt>
              </c:strCache>
            </c:strRef>
          </c:tx>
          <c:invertIfNegative val="0"/>
          <c:dLbls>
            <c:delete val="1"/>
          </c:dLbls>
          <c:cat>
            <c:strRef>
              <c:f>Sheet1!$A$2:$A$5</c:f>
              <c:strCache>
                <c:ptCount val="2"/>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48613248"/>
        <c:axId val="48614784"/>
      </c:barChart>
      <c:catAx>
        <c:axId val="486132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614784"/>
        <c:crosses val="autoZero"/>
        <c:auto val="1"/>
        <c:lblAlgn val="ctr"/>
        <c:lblOffset val="100"/>
        <c:noMultiLvlLbl val="0"/>
      </c:catAx>
      <c:valAx>
        <c:axId val="48614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613248"/>
        <c:crosses val="autoZero"/>
        <c:crossBetween val="between"/>
      </c:valAx>
      <c:spPr>
        <a:solidFill>
          <a:schemeClr val="bg1"/>
        </a:solidFill>
        <a:ln>
          <a:noFill/>
        </a:ln>
        <a:effectLst/>
      </c:spPr>
    </c:plotArea>
    <c:legend>
      <c:legendPos val="r"/>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一般公共预算财政支出</c:v>
                </c:pt>
              </c:strCache>
            </c:strRef>
          </c:tx>
          <c:invertIfNegative val="0"/>
          <c:dLbls>
            <c:delete val="1"/>
          </c:dLbls>
          <c:cat>
            <c:numRef>
              <c:f>Sheet1!$A$2:$A$5</c:f>
              <c:numCache>
                <c:formatCode>General</c:formatCode>
                <c:ptCount val="4"/>
                <c:pt idx="0">
                  <c:v>2018</c:v>
                </c:pt>
                <c:pt idx="1">
                  <c:v>2019</c:v>
                </c:pt>
              </c:numCache>
            </c:numRef>
          </c:cat>
          <c:val>
            <c:numRef>
              <c:f>Sheet1!$B$2:$B$5</c:f>
              <c:numCache>
                <c:formatCode>General</c:formatCode>
                <c:ptCount val="4"/>
                <c:pt idx="0">
                  <c:v>2882.1</c:v>
                </c:pt>
                <c:pt idx="1">
                  <c:v>3360.45</c:v>
                </c:pt>
              </c:numCache>
            </c:numRef>
          </c:val>
        </c:ser>
        <c:ser>
          <c:idx val="1"/>
          <c:order val="1"/>
          <c:tx>
            <c:strRef>
              <c:f>Sheet1!$C$1</c:f>
              <c:strCache>
                <c:ptCount val="1"/>
                <c:pt idx="0">
                  <c:v>列2</c:v>
                </c:pt>
              </c:strCache>
            </c:strRef>
          </c:tx>
          <c:invertIfNegative val="0"/>
          <c:dLbls>
            <c:delete val="1"/>
          </c:dLbls>
          <c:cat>
            <c:numRef>
              <c:f>Sheet1!$A$2:$A$5</c:f>
              <c:numCache>
                <c:formatCode>General</c:formatCode>
                <c:ptCount val="4"/>
                <c:pt idx="0">
                  <c:v>2018</c:v>
                </c:pt>
                <c:pt idx="1">
                  <c:v>2019</c:v>
                </c:pt>
              </c:numCache>
            </c:numRef>
          </c:cat>
          <c:val>
            <c:numRef>
              <c:f>Sheet1!$C$2:$C$5</c:f>
              <c:numCache>
                <c:formatCode>General</c:formatCode>
                <c:ptCount val="4"/>
              </c:numCache>
            </c:numRef>
          </c:val>
        </c:ser>
        <c:ser>
          <c:idx val="2"/>
          <c:order val="2"/>
          <c:tx>
            <c:strRef>
              <c:f>Sheet1!$D$1</c:f>
              <c:strCache>
                <c:ptCount val="1"/>
                <c:pt idx="0">
                  <c:v>列1</c:v>
                </c:pt>
              </c:strCache>
            </c:strRef>
          </c:tx>
          <c:invertIfNegative val="0"/>
          <c:dLbls>
            <c:delete val="1"/>
          </c:dLbls>
          <c:cat>
            <c:numRef>
              <c:f>Sheet1!$A$2:$A$5</c:f>
              <c:numCache>
                <c:formatCode>General</c:formatCode>
                <c:ptCount val="4"/>
                <c:pt idx="0">
                  <c:v>2018</c:v>
                </c:pt>
                <c:pt idx="1">
                  <c:v>2019</c:v>
                </c:pt>
              </c:numCache>
            </c:numRef>
          </c:cat>
          <c:val>
            <c:numRef>
              <c:f>Sheet1!$D$2:$D$5</c:f>
              <c:numCache>
                <c:formatCode>General</c:formatCode>
                <c:ptCount val="4"/>
              </c:numCache>
            </c:numRef>
          </c:val>
        </c:ser>
        <c:dLbls>
          <c:showLegendKey val="0"/>
          <c:showVal val="0"/>
          <c:showCatName val="0"/>
          <c:showSerName val="0"/>
          <c:showPercent val="0"/>
          <c:showBubbleSize val="0"/>
        </c:dLbls>
        <c:gapWidth val="150"/>
        <c:axId val="48662016"/>
        <c:axId val="48663552"/>
      </c:barChart>
      <c:catAx>
        <c:axId val="486620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663552"/>
        <c:crosses val="autoZero"/>
        <c:auto val="1"/>
        <c:lblAlgn val="ctr"/>
        <c:lblOffset val="100"/>
        <c:noMultiLvlLbl val="0"/>
      </c:catAx>
      <c:valAx>
        <c:axId val="486635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662016"/>
        <c:crosses val="autoZero"/>
        <c:crossBetween val="between"/>
      </c:valAx>
      <c:spPr>
        <a:solidFill>
          <a:schemeClr val="bg1"/>
        </a:solidFill>
        <a:ln>
          <a:noFill/>
        </a:ln>
        <a:effectLst/>
      </c:spPr>
    </c:plotArea>
    <c:legend>
      <c:legendPos val="r"/>
      <c:legendEntry>
        <c:idx val="1"/>
        <c:delete val="1"/>
      </c:legendEntry>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支出（万元）</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一般公共服务</c:v>
                </c:pt>
                <c:pt idx="1">
                  <c:v>社会保障就业</c:v>
                </c:pt>
                <c:pt idx="2">
                  <c:v>卫生健康</c:v>
                </c:pt>
                <c:pt idx="3">
                  <c:v>住房保障</c:v>
                </c:pt>
                <c:pt idx="4">
                  <c:v>金融支出</c:v>
                </c:pt>
                <c:pt idx="5">
                  <c:v>粮油物资储备</c:v>
                </c:pt>
              </c:strCache>
            </c:strRef>
          </c:cat>
          <c:val>
            <c:numRef>
              <c:f>Sheet1!$B$2:$B$7</c:f>
              <c:numCache>
                <c:formatCode>General</c:formatCode>
                <c:ptCount val="6"/>
                <c:pt idx="0">
                  <c:v>1458.14</c:v>
                </c:pt>
                <c:pt idx="1">
                  <c:v>200.2</c:v>
                </c:pt>
                <c:pt idx="2">
                  <c:v>43.3</c:v>
                </c:pt>
                <c:pt idx="3">
                  <c:v>56.72</c:v>
                </c:pt>
                <c:pt idx="4">
                  <c:v>160.36</c:v>
                </c:pt>
                <c:pt idx="5">
                  <c:v>1435.73</c:v>
                </c:pt>
              </c:numCache>
            </c:numRef>
          </c:val>
        </c:ser>
        <c:dLbls>
          <c:showLegendKey val="0"/>
          <c:showVal val="1"/>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2"/>
                <c:pt idx="0">
                  <c:v>公务接待</c:v>
                </c:pt>
                <c:pt idx="1">
                  <c:v>公务用车运行维护费</c:v>
                </c:pt>
              </c:strCache>
            </c:strRef>
          </c:cat>
          <c:val>
            <c:numRef>
              <c:f>Sheet1!$B$2:$B$5</c:f>
              <c:numCache>
                <c:formatCode>General</c:formatCode>
                <c:ptCount val="4"/>
                <c:pt idx="0">
                  <c:v>5.3</c:v>
                </c:pt>
                <c:pt idx="1">
                  <c:v>13.36</c:v>
                </c:pt>
              </c:numCache>
            </c:numRef>
          </c:val>
        </c:ser>
        <c:dLbls>
          <c:showLegendKey val="0"/>
          <c:showVal val="1"/>
          <c:showCatName val="0"/>
          <c:showSerName val="0"/>
          <c:showPercent val="0"/>
          <c:showBubbleSize val="0"/>
        </c:dLbls>
      </c:pie3DChart>
    </c:plotArea>
    <c:legend>
      <c:legendPos val="r"/>
      <c:legendEntry>
        <c:idx val="2"/>
        <c:delete val="1"/>
      </c:legendEntry>
      <c:legendEntry>
        <c:idx val="3"/>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8F7A-5015-4916-99BC-C69CFBB0061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42</Pages>
  <Words>16211</Words>
  <Characters>17661</Characters>
  <Lines>16</Lines>
  <Paragraphs>36</Paragraphs>
  <TotalTime>1258</TotalTime>
  <ScaleCrop>false</ScaleCrop>
  <LinksUpToDate>false</LinksUpToDate>
  <CharactersWithSpaces>17739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2020-10-26T06:57:00Z</cp:lastPrinted>
  <dcterms:modified xsi:type="dcterms:W3CDTF">2023-04-26T09:06:37Z</dcterms:modified>
  <dc:title>四川省***</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97A91564DA384F9C93DE2795448D9D5C</vt:lpwstr>
  </property>
</Properties>
</file>