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 w:lineRule="atLeast"/>
        <w:jc w:val="center"/>
        <w:textAlignment w:val="auto"/>
        <w:rPr>
          <w:rFonts w:eastAsia="方正小标宋简体"/>
          <w:bCs/>
          <w:color w:val="FF0000"/>
          <w:spacing w:val="-57"/>
          <w:sz w:val="116"/>
          <w:szCs w:val="116"/>
        </w:rPr>
      </w:pPr>
      <w:bookmarkStart w:id="0" w:name="_GoBack"/>
      <w:bookmarkEnd w:id="0"/>
    </w:p>
    <w:p>
      <w:pPr>
        <w:spacing w:line="120" w:lineRule="auto"/>
        <w:jc w:val="right"/>
        <w:rPr>
          <w:rFonts w:eastAsia="仿宋_GB2312"/>
          <w:sz w:val="32"/>
          <w:szCs w:val="32"/>
        </w:rPr>
      </w:pPr>
    </w:p>
    <w:p>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rPr>
        <w:t>16</w:t>
      </w:r>
      <w:r>
        <w:rPr>
          <w:rFonts w:eastAsia="仿宋_GB2312"/>
          <w:sz w:val="32"/>
          <w:szCs w:val="32"/>
        </w:rPr>
        <w:t>号</w:t>
      </w:r>
    </w:p>
    <w:p>
      <w:pPr>
        <w:spacing w:line="0" w:lineRule="atLeas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德阳市生态环境局</w:t>
      </w:r>
    </w:p>
    <w:p>
      <w:pPr>
        <w:spacing w:line="600" w:lineRule="exact"/>
        <w:ind w:firstLine="88" w:firstLineChars="20"/>
        <w:jc w:val="center"/>
        <w:outlineLvl w:val="0"/>
        <w:rPr>
          <w:rFonts w:eastAsia="方正小标宋简体"/>
          <w:sz w:val="44"/>
          <w:szCs w:val="44"/>
        </w:rPr>
      </w:pPr>
      <w:r>
        <w:rPr>
          <w:rFonts w:eastAsia="方正小标宋简体"/>
          <w:sz w:val="44"/>
          <w:szCs w:val="44"/>
        </w:rPr>
        <w:t>关于</w:t>
      </w:r>
      <w:r>
        <w:rPr>
          <w:rFonts w:hint="eastAsia" w:eastAsia="方正小标宋简体"/>
          <w:sz w:val="44"/>
          <w:szCs w:val="44"/>
        </w:rPr>
        <w:t>四川福鸟材料科技有限公司</w:t>
      </w:r>
    </w:p>
    <w:p>
      <w:pPr>
        <w:spacing w:line="600" w:lineRule="exact"/>
        <w:ind w:firstLine="88" w:firstLineChars="20"/>
        <w:jc w:val="center"/>
        <w:outlineLvl w:val="0"/>
        <w:rPr>
          <w:rFonts w:eastAsia="方正小标宋简体"/>
          <w:sz w:val="44"/>
          <w:szCs w:val="44"/>
        </w:rPr>
      </w:pPr>
      <w:r>
        <w:rPr>
          <w:rFonts w:hint="eastAsia" w:eastAsia="方正小标宋简体"/>
          <w:sz w:val="44"/>
          <w:szCs w:val="44"/>
        </w:rPr>
        <w:t>塑料板材、管材、棒材及配件生产项目</w:t>
      </w:r>
    </w:p>
    <w:p>
      <w:pPr>
        <w:spacing w:line="600" w:lineRule="exact"/>
        <w:ind w:firstLine="88" w:firstLineChars="20"/>
        <w:jc w:val="center"/>
        <w:outlineLvl w:val="0"/>
        <w:rPr>
          <w:rFonts w:eastAsia="方正小标宋简体"/>
          <w:sz w:val="44"/>
          <w:szCs w:val="44"/>
        </w:rPr>
      </w:pPr>
      <w:r>
        <w:rPr>
          <w:rFonts w:eastAsia="方正小标宋简体"/>
          <w:sz w:val="44"/>
          <w:szCs w:val="44"/>
        </w:rPr>
        <w:t>《环境影响报告表》的批复</w:t>
      </w:r>
    </w:p>
    <w:p>
      <w:pPr>
        <w:spacing w:line="0" w:lineRule="atLeast"/>
        <w:jc w:val="center"/>
        <w:rPr>
          <w:rFonts w:eastAsia="方正小标宋简体"/>
          <w:sz w:val="24"/>
        </w:rPr>
      </w:pPr>
    </w:p>
    <w:p>
      <w:pPr>
        <w:spacing w:line="540" w:lineRule="exact"/>
        <w:rPr>
          <w:rFonts w:eastAsia="仿宋_GB2312"/>
          <w:kern w:val="0"/>
          <w:sz w:val="32"/>
          <w:szCs w:val="32"/>
        </w:rPr>
      </w:pPr>
      <w:r>
        <w:rPr>
          <w:rFonts w:hint="eastAsia" w:eastAsia="仿宋_GB2312"/>
          <w:kern w:val="0"/>
          <w:sz w:val="32"/>
          <w:szCs w:val="32"/>
        </w:rPr>
        <w:t>四川福鸟材料科技有限公司：</w:t>
      </w:r>
    </w:p>
    <w:p>
      <w:pPr>
        <w:spacing w:line="540" w:lineRule="exact"/>
        <w:ind w:firstLine="640" w:firstLineChars="200"/>
        <w:rPr>
          <w:rFonts w:eastAsia="仿宋_GB2312"/>
          <w:kern w:val="0"/>
          <w:sz w:val="32"/>
          <w:szCs w:val="32"/>
        </w:rPr>
      </w:pPr>
      <w:r>
        <w:rPr>
          <w:rFonts w:eastAsia="仿宋_GB2312"/>
          <w:kern w:val="0"/>
          <w:sz w:val="32"/>
          <w:szCs w:val="32"/>
        </w:rPr>
        <w:t>你公司报送的</w:t>
      </w:r>
      <w:r>
        <w:rPr>
          <w:rFonts w:hint="eastAsia" w:eastAsia="仿宋_GB2312"/>
          <w:kern w:val="0"/>
          <w:sz w:val="32"/>
          <w:szCs w:val="32"/>
        </w:rPr>
        <w:t>塑料板材、管材、棒材及配件生产项目</w:t>
      </w:r>
      <w:r>
        <w:rPr>
          <w:rFonts w:eastAsia="仿宋_GB2312"/>
          <w:kern w:val="0"/>
          <w:sz w:val="32"/>
          <w:szCs w:val="32"/>
        </w:rPr>
        <w:t>《环境影响报告表》（以下简称“报告表”）收悉。经研究，批复如下：</w:t>
      </w:r>
    </w:p>
    <w:p>
      <w:pPr>
        <w:pStyle w:val="8"/>
        <w:widowControl/>
        <w:spacing w:before="0" w:beforeAutospacing="0" w:after="0" w:afterAutospacing="0" w:line="540" w:lineRule="exact"/>
        <w:rPr>
          <w:rFonts w:eastAsia="仿宋_GB2312"/>
          <w:sz w:val="32"/>
          <w:szCs w:val="32"/>
        </w:rPr>
      </w:pPr>
      <w:r>
        <w:rPr>
          <w:rFonts w:eastAsia="仿宋_GB2312"/>
          <w:sz w:val="32"/>
          <w:szCs w:val="32"/>
        </w:rPr>
        <w:t xml:space="preserve">    一、</w:t>
      </w:r>
      <w:r>
        <w:rPr>
          <w:rFonts w:hint="eastAsia" w:eastAsia="仿宋_GB2312"/>
          <w:sz w:val="32"/>
          <w:szCs w:val="32"/>
        </w:rPr>
        <w:t>该项目为新建项目,拟在广汉市金轮镇五里村（原柳虹村）1组租赁四川兴裕华厨房设备有限公司已建标准化厂房建设，用地面积1700平方米。项目内容及规模为：依托现有生产车间及相关公辅设施，购置挤出机、注塑机、吸塑机、模压机、加工中心、车床、磨床、铣床、切割设备</w:t>
      </w:r>
      <w:r>
        <w:rPr>
          <w:rFonts w:eastAsia="仿宋_GB2312"/>
          <w:sz w:val="32"/>
          <w:szCs w:val="32"/>
        </w:rPr>
        <w:t>等生产设备</w:t>
      </w:r>
      <w:r>
        <w:rPr>
          <w:rFonts w:hint="eastAsia" w:eastAsia="仿宋_GB2312"/>
          <w:sz w:val="32"/>
          <w:szCs w:val="32"/>
        </w:rPr>
        <w:t>，布设塑料板棒管异型材、金属零配件生产线，建成后形成年</w:t>
      </w:r>
      <w:r>
        <w:rPr>
          <w:rFonts w:eastAsia="仿宋_GB2312"/>
          <w:sz w:val="32"/>
          <w:szCs w:val="32"/>
        </w:rPr>
        <w:t>加工</w:t>
      </w:r>
      <w:r>
        <w:rPr>
          <w:rFonts w:hint="eastAsia" w:eastAsia="仿宋_GB2312"/>
          <w:sz w:val="32"/>
          <w:szCs w:val="32"/>
        </w:rPr>
        <w:t>塑料板棒管异型材2800吨</w:t>
      </w:r>
      <w:r>
        <w:rPr>
          <w:rFonts w:eastAsia="仿宋_GB2312"/>
          <w:sz w:val="32"/>
          <w:szCs w:val="32"/>
        </w:rPr>
        <w:t>、</w:t>
      </w:r>
      <w:r>
        <w:rPr>
          <w:rFonts w:hint="eastAsia" w:eastAsia="仿宋_GB2312"/>
          <w:sz w:val="32"/>
          <w:szCs w:val="32"/>
        </w:rPr>
        <w:t>金属零配件300</w:t>
      </w:r>
      <w:r>
        <w:rPr>
          <w:rFonts w:eastAsia="仿宋_GB2312"/>
          <w:sz w:val="32"/>
          <w:szCs w:val="32"/>
        </w:rPr>
        <w:t>吨的</w:t>
      </w:r>
      <w:r>
        <w:rPr>
          <w:rFonts w:hint="eastAsia" w:eastAsia="仿宋_GB2312"/>
          <w:sz w:val="32"/>
          <w:szCs w:val="32"/>
        </w:rPr>
        <w:t>生产</w:t>
      </w:r>
      <w:r>
        <w:rPr>
          <w:rFonts w:eastAsia="仿宋_GB2312"/>
          <w:sz w:val="32"/>
          <w:szCs w:val="32"/>
        </w:rPr>
        <w:t>能力。</w:t>
      </w:r>
      <w:r>
        <w:rPr>
          <w:rFonts w:hint="eastAsia" w:eastAsia="仿宋_GB2312"/>
          <w:sz w:val="32"/>
          <w:szCs w:val="32"/>
        </w:rPr>
        <w:t>项目总投资1000万元，其中环保投资47.2万元。</w:t>
      </w:r>
    </w:p>
    <w:p>
      <w:pPr>
        <w:pStyle w:val="8"/>
        <w:widowControl/>
        <w:spacing w:before="0" w:beforeAutospacing="0" w:after="0" w:afterAutospacing="0" w:line="540" w:lineRule="exact"/>
        <w:ind w:firstLine="640" w:firstLineChars="200"/>
        <w:rPr>
          <w:rFonts w:eastAsia="仿宋_GB2312"/>
          <w:sz w:val="32"/>
          <w:szCs w:val="32"/>
        </w:rPr>
      </w:pPr>
      <w:r>
        <w:rPr>
          <w:rFonts w:eastAsia="仿宋_GB2312"/>
          <w:sz w:val="32"/>
          <w:szCs w:val="32"/>
        </w:rPr>
        <w:t>项目在四川省投资项目在线审批监管平台进行了备案（备案号：川投资备[</w:t>
      </w:r>
      <w:r>
        <w:rPr>
          <w:rFonts w:hint="eastAsia" w:eastAsia="仿宋_GB2312"/>
          <w:sz w:val="32"/>
          <w:szCs w:val="32"/>
        </w:rPr>
        <w:t>2310</w:t>
      </w:r>
      <w:r>
        <w:rPr>
          <w:rFonts w:eastAsia="仿宋_GB2312"/>
          <w:sz w:val="32"/>
          <w:szCs w:val="32"/>
        </w:rPr>
        <w:t>-5106</w:t>
      </w:r>
      <w:r>
        <w:rPr>
          <w:rFonts w:hint="eastAsia" w:eastAsia="仿宋_GB2312"/>
          <w:sz w:val="32"/>
          <w:szCs w:val="32"/>
        </w:rPr>
        <w:t>81</w:t>
      </w:r>
      <w:r>
        <w:rPr>
          <w:rFonts w:eastAsia="仿宋_GB2312"/>
          <w:sz w:val="32"/>
          <w:szCs w:val="32"/>
        </w:rPr>
        <w:t>-0</w:t>
      </w:r>
      <w:r>
        <w:rPr>
          <w:rFonts w:hint="eastAsia" w:eastAsia="仿宋_GB2312"/>
          <w:sz w:val="32"/>
          <w:szCs w:val="32"/>
        </w:rPr>
        <w:t>4</w:t>
      </w:r>
      <w:r>
        <w:rPr>
          <w:rFonts w:eastAsia="仿宋_GB2312"/>
          <w:sz w:val="32"/>
          <w:szCs w:val="32"/>
        </w:rPr>
        <w:t>-0</w:t>
      </w:r>
      <w:r>
        <w:rPr>
          <w:rFonts w:hint="eastAsia" w:eastAsia="仿宋_GB2312"/>
          <w:sz w:val="32"/>
          <w:szCs w:val="32"/>
        </w:rPr>
        <w:t>1</w:t>
      </w:r>
      <w:r>
        <w:rPr>
          <w:rFonts w:eastAsia="仿宋_GB2312"/>
          <w:sz w:val="32"/>
          <w:szCs w:val="32"/>
        </w:rPr>
        <w:t>-</w:t>
      </w:r>
      <w:r>
        <w:rPr>
          <w:rFonts w:hint="eastAsia" w:eastAsia="仿宋_GB2312"/>
          <w:sz w:val="32"/>
          <w:szCs w:val="32"/>
        </w:rPr>
        <w:t>280730</w:t>
      </w:r>
      <w:r>
        <w:rPr>
          <w:rFonts w:eastAsia="仿宋_GB2312"/>
          <w:sz w:val="32"/>
          <w:szCs w:val="32"/>
        </w:rPr>
        <w:t>]</w:t>
      </w:r>
      <w:r>
        <w:rPr>
          <w:rFonts w:hint="eastAsia" w:eastAsia="仿宋_GB2312"/>
          <w:sz w:val="32"/>
          <w:szCs w:val="32"/>
        </w:rPr>
        <w:t>FGWB</w:t>
      </w:r>
      <w:r>
        <w:rPr>
          <w:rFonts w:eastAsia="仿宋_GB2312"/>
          <w:sz w:val="32"/>
          <w:szCs w:val="32"/>
        </w:rPr>
        <w:t>-</w:t>
      </w:r>
      <w:r>
        <w:rPr>
          <w:rFonts w:hint="eastAsia" w:eastAsia="仿宋_GB2312"/>
          <w:sz w:val="32"/>
          <w:szCs w:val="32"/>
        </w:rPr>
        <w:t>0461</w:t>
      </w:r>
      <w:r>
        <w:rPr>
          <w:rFonts w:eastAsia="仿宋_GB2312"/>
          <w:sz w:val="32"/>
          <w:szCs w:val="32"/>
        </w:rPr>
        <w:t>号），符合国家现行产业政策</w:t>
      </w:r>
      <w:r>
        <w:rPr>
          <w:rFonts w:eastAsia="仿宋_GB2312"/>
          <w:sz w:val="32"/>
          <w:szCs w:val="32"/>
          <w:lang w:val="zh-CN"/>
        </w:rPr>
        <w:t>；</w:t>
      </w:r>
      <w:r>
        <w:rPr>
          <w:rFonts w:hint="eastAsia" w:ascii="仿宋_GB2312" w:eastAsia="仿宋_GB2312"/>
          <w:sz w:val="32"/>
          <w:szCs w:val="32"/>
        </w:rPr>
        <w:t>根据广汉市金轮镇总体规划及</w:t>
      </w:r>
      <w:r>
        <w:rPr>
          <w:rFonts w:hint="eastAsia" w:eastAsia="仿宋_GB2312"/>
          <w:sz w:val="32"/>
          <w:szCs w:val="32"/>
        </w:rPr>
        <w:t>四川兴裕华厨房设备有限公司取得</w:t>
      </w:r>
      <w:r>
        <w:rPr>
          <w:rFonts w:hint="eastAsia" w:ascii="仿宋_GB2312" w:hAnsi="仿宋_GB2312" w:eastAsia="仿宋_GB2312" w:cs="仿宋_GB2312"/>
          <w:color w:val="000000" w:themeColor="text1"/>
          <w:sz w:val="32"/>
          <w:szCs w:val="32"/>
        </w:rPr>
        <w:t>的《不动产权证》</w:t>
      </w:r>
      <w:r>
        <w:rPr>
          <w:rFonts w:hint="eastAsia" w:ascii="仿宋_GB2312" w:eastAsia="仿宋_GB2312"/>
          <w:sz w:val="32"/>
          <w:szCs w:val="32"/>
        </w:rPr>
        <w:t>，项目用地性质为工业用地，</w:t>
      </w:r>
      <w:r>
        <w:rPr>
          <w:rFonts w:eastAsia="仿宋_GB2312"/>
          <w:sz w:val="32"/>
          <w:szCs w:val="32"/>
        </w:rPr>
        <w:t>选址</w:t>
      </w:r>
      <w:r>
        <w:rPr>
          <w:rFonts w:hint="eastAsia" w:eastAsia="仿宋_GB2312"/>
          <w:sz w:val="32"/>
          <w:szCs w:val="32"/>
        </w:rPr>
        <w:t>符合规划</w:t>
      </w:r>
      <w:r>
        <w:rPr>
          <w:rFonts w:eastAsia="仿宋_GB2312"/>
          <w:sz w:val="32"/>
          <w:szCs w:val="32"/>
        </w:rPr>
        <w:t>。</w:t>
      </w:r>
    </w:p>
    <w:p>
      <w:pPr>
        <w:spacing w:line="540" w:lineRule="exact"/>
        <w:ind w:firstLine="615"/>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同意该项目按报告表中所列建设性质、地点、内容、规模、工艺及环保对策措施和风险防范措施进行建设</w:t>
      </w:r>
      <w:r>
        <w:rPr>
          <w:rFonts w:eastAsia="仿宋_GB2312"/>
          <w:kern w:val="0"/>
          <w:sz w:val="32"/>
          <w:szCs w:val="32"/>
        </w:rPr>
        <w:t>。</w:t>
      </w:r>
    </w:p>
    <w:p>
      <w:pPr>
        <w:widowControl/>
        <w:spacing w:line="540" w:lineRule="exact"/>
        <w:ind w:firstLine="570"/>
        <w:jc w:val="left"/>
        <w:rPr>
          <w:rFonts w:eastAsia="仿宋_GB2312"/>
          <w:kern w:val="0"/>
          <w:sz w:val="32"/>
          <w:szCs w:val="32"/>
        </w:rPr>
      </w:pPr>
      <w:r>
        <w:rPr>
          <w:rFonts w:eastAsia="仿宋_GB2312"/>
          <w:kern w:val="0"/>
          <w:sz w:val="32"/>
          <w:szCs w:val="32"/>
        </w:rPr>
        <w:t xml:space="preserve">二、项目建设及运行中应重点做好以下工作：  </w:t>
      </w:r>
    </w:p>
    <w:p>
      <w:pPr>
        <w:spacing w:line="540" w:lineRule="exact"/>
        <w:ind w:firstLine="640" w:firstLineChars="200"/>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pPr>
        <w:pStyle w:val="2"/>
        <w:spacing w:line="540" w:lineRule="exact"/>
        <w:ind w:firstLine="640"/>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pPr>
        <w:spacing w:line="540" w:lineRule="exact"/>
        <w:ind w:firstLine="640" w:firstLineChars="200"/>
        <w:rPr>
          <w:rFonts w:eastAsia="仿宋_GB2312"/>
          <w:sz w:val="32"/>
          <w:szCs w:val="32"/>
        </w:rPr>
      </w:pPr>
      <w:r>
        <w:rPr>
          <w:rFonts w:eastAsia="仿宋_GB2312"/>
          <w:sz w:val="32"/>
          <w:szCs w:val="32"/>
        </w:rPr>
        <w:t>（三）严格落实并优化报告表提出的各项废气处理措施。</w:t>
      </w:r>
      <w:r>
        <w:rPr>
          <w:rFonts w:hint="eastAsia" w:ascii="仿宋_GB2312" w:hAnsi="仿宋_GB2312" w:eastAsia="仿宋_GB2312" w:cs="仿宋_GB2312"/>
          <w:color w:val="000000" w:themeColor="text1"/>
          <w:sz w:val="32"/>
          <w:szCs w:val="32"/>
        </w:rPr>
        <w:t>落实金属下料、雕刻、磨加工工序的集气罩捕集措施和布袋除尘器处理装置，确保金属下料、雕刻、磨加工粉尘经收集处理后由15米高排气筒达标排放；落实塑料熔融工序的集气罩捕集措施和两级活性炭处理装置，确保塑料熔融有机废气经收集处理后由15米高排气筒达标排放。</w:t>
      </w:r>
    </w:p>
    <w:p>
      <w:pPr>
        <w:spacing w:line="540" w:lineRule="exact"/>
        <w:ind w:firstLine="640" w:firstLineChars="200"/>
        <w:rPr>
          <w:rFonts w:eastAsia="仿宋_GB2312"/>
          <w:sz w:val="32"/>
          <w:szCs w:val="32"/>
        </w:rPr>
      </w:pPr>
      <w:r>
        <w:rPr>
          <w:rFonts w:eastAsia="仿宋_GB2312"/>
          <w:sz w:val="32"/>
          <w:szCs w:val="32"/>
        </w:rPr>
        <w:t>（四）严格落实并优化报告表提出的各项废水处理措施。</w:t>
      </w:r>
      <w:r>
        <w:rPr>
          <w:rFonts w:hint="eastAsia" w:ascii="仿宋_GB2312" w:hAnsi="仿宋_GB2312" w:eastAsia="仿宋_GB2312" w:cs="仿宋_GB2312"/>
          <w:color w:val="000000" w:themeColor="text1"/>
          <w:sz w:val="32"/>
          <w:szCs w:val="32"/>
        </w:rPr>
        <w:t>项目冷却水循环使用，不外排；员工洗手及拖布清洗废水经新建隔油池处理后汇同生活污水一并依托四川兴裕华厨房设备有限公司已建预处理池处理达《污</w:t>
      </w:r>
      <w:r>
        <w:rPr>
          <w:rFonts w:hint="eastAsia" w:ascii="仿宋_GB2312" w:eastAsia="仿宋_GB2312"/>
          <w:sz w:val="32"/>
          <w:szCs w:val="32"/>
        </w:rPr>
        <w:t>水综合排放标准》（GB8978-1996）三级标准后</w:t>
      </w:r>
      <w:r>
        <w:rPr>
          <w:rFonts w:hint="eastAsia" w:ascii="仿宋_GB2312" w:hAnsi="仿宋_GB2312" w:eastAsia="仿宋_GB2312" w:cs="仿宋_GB2312"/>
          <w:bCs/>
          <w:color w:val="000000" w:themeColor="text1"/>
          <w:sz w:val="32"/>
          <w:szCs w:val="32"/>
        </w:rPr>
        <w:t>排入市政污水管网，再经</w:t>
      </w:r>
      <w:r>
        <w:rPr>
          <w:rFonts w:hint="eastAsia" w:ascii="仿宋_GB2312" w:eastAsia="仿宋_GB2312"/>
          <w:sz w:val="32"/>
          <w:szCs w:val="32"/>
        </w:rPr>
        <w:t>广汉市第十一污水处理厂处理达《城镇污水处理厂污染物排放标准》中一级A标准后排放。</w:t>
      </w:r>
    </w:p>
    <w:p>
      <w:pPr>
        <w:spacing w:line="540" w:lineRule="exact"/>
        <w:ind w:firstLine="640" w:firstLineChars="200"/>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pPr>
        <w:spacing w:line="540" w:lineRule="exact"/>
        <w:ind w:firstLine="640" w:firstLineChars="200"/>
        <w:rPr>
          <w:rFonts w:ascii="仿宋_GB2312" w:eastAsia="仿宋_GB2312"/>
          <w:sz w:val="32"/>
          <w:szCs w:val="32"/>
        </w:rPr>
      </w:pPr>
      <w:r>
        <w:rPr>
          <w:rFonts w:eastAsia="仿宋_GB2312"/>
          <w:sz w:val="32"/>
          <w:szCs w:val="32"/>
        </w:rPr>
        <w:t>（六）</w:t>
      </w:r>
      <w:r>
        <w:rPr>
          <w:rFonts w:hint="eastAsia" w:ascii="仿宋_GB2312"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eastAsia="仿宋_GB2312"/>
          <w:sz w:val="32"/>
          <w:szCs w:val="32"/>
        </w:rPr>
        <w:t>项目</w:t>
      </w:r>
      <w:r>
        <w:rPr>
          <w:rFonts w:hint="eastAsia" w:ascii="仿宋_GB2312" w:hAnsi="仿宋_GB2312" w:eastAsia="仿宋_GB2312" w:cs="仿宋_GB2312"/>
          <w:color w:val="000000" w:themeColor="text1"/>
          <w:sz w:val="32"/>
          <w:szCs w:val="32"/>
        </w:rPr>
        <w:t>废包装材料、废金属边角料、金属零配件不合格品、废塑料不合格品、废塑料边角料集中收集后定期外售；废活性炭、</w:t>
      </w:r>
      <w:r>
        <w:rPr>
          <w:rFonts w:hint="eastAsia" w:ascii="仿宋_GB2312" w:hAnsi="仿宋_GB2312" w:eastAsia="仿宋_GB2312" w:cs="仿宋_GB2312"/>
          <w:color w:val="000000"/>
          <w:sz w:val="32"/>
          <w:szCs w:val="32"/>
        </w:rPr>
        <w:t>废润滑油、废润滑油桶、废含油棉纱和手套、废切削液、含油金属废边角料</w:t>
      </w:r>
      <w:r>
        <w:rPr>
          <w:rFonts w:hint="eastAsia" w:ascii="仿宋_GB2312" w:hAnsi="仿宋_GB2312" w:eastAsia="仿宋_GB2312" w:cs="仿宋_GB2312"/>
          <w:color w:val="000000" w:themeColor="text1"/>
          <w:sz w:val="32"/>
          <w:szCs w:val="32"/>
        </w:rPr>
        <w:t>属危险废物，须妥善安全收储，落</w:t>
      </w:r>
      <w:r>
        <w:rPr>
          <w:rFonts w:hint="eastAsia" w:ascii="仿宋_GB2312" w:eastAsia="仿宋_GB2312"/>
          <w:sz w:val="32"/>
          <w:szCs w:val="32"/>
        </w:rPr>
        <w:t>实专人管理，并严格执行转移联单制度，定期交有危废处理资质的单位处置，其暂存区须落实防雨淋、防渗漏、防流失、防晒等措施；生活垃圾交环卫部门清运处理。</w:t>
      </w:r>
    </w:p>
    <w:p>
      <w:pPr>
        <w:pStyle w:val="2"/>
        <w:spacing w:line="540" w:lineRule="exact"/>
        <w:ind w:firstLine="640"/>
        <w:rPr>
          <w:rFonts w:eastAsia="仿宋_GB2312"/>
        </w:rPr>
      </w:pPr>
      <w:r>
        <w:rPr>
          <w:rFonts w:eastAsia="仿宋_GB2312"/>
          <w:sz w:val="32"/>
          <w:szCs w:val="32"/>
        </w:rPr>
        <w:t>（七）严格落实并优化报告表提出的地下水和土壤污染防治措施。项目将</w:t>
      </w:r>
      <w:r>
        <w:rPr>
          <w:rFonts w:hint="eastAsia" w:ascii="仿宋_GB2312" w:hAnsi="仿宋_GB2312" w:eastAsia="仿宋_GB2312" w:cs="仿宋_GB2312"/>
          <w:color w:val="000000" w:themeColor="text1"/>
          <w:sz w:val="32"/>
          <w:szCs w:val="32"/>
        </w:rPr>
        <w:t>危废暂存间、机械加工涉油设备及区域</w:t>
      </w:r>
      <w:r>
        <w:rPr>
          <w:rFonts w:eastAsia="仿宋_GB2312"/>
          <w:sz w:val="32"/>
          <w:szCs w:val="32"/>
        </w:rPr>
        <w:t>设置为重点防渗区，将</w:t>
      </w:r>
      <w:r>
        <w:rPr>
          <w:rFonts w:hint="eastAsia" w:eastAsia="仿宋_GB2312"/>
          <w:sz w:val="32"/>
          <w:szCs w:val="32"/>
        </w:rPr>
        <w:t>重点防渗区及简单防渗区以外的区域</w:t>
      </w:r>
      <w:r>
        <w:rPr>
          <w:rFonts w:eastAsia="仿宋_GB2312"/>
          <w:sz w:val="32"/>
          <w:szCs w:val="32"/>
        </w:rPr>
        <w:t>设置为一般防渗区，</w:t>
      </w:r>
      <w:r>
        <w:rPr>
          <w:rFonts w:hint="eastAsia" w:eastAsia="仿宋_GB2312"/>
          <w:sz w:val="32"/>
          <w:szCs w:val="32"/>
        </w:rPr>
        <w:t>将办公生活区、停车场、道路设置为简单防渗区，</w:t>
      </w:r>
      <w:r>
        <w:rPr>
          <w:rFonts w:eastAsia="仿宋_GB2312"/>
          <w:sz w:val="32"/>
          <w:szCs w:val="32"/>
        </w:rPr>
        <w:t>分别采取防渗措施。建立和完善地下水、土壤污染监控制度和环境管理体系，发现问题及时采取措施，避免污染周边地下水和土壤环境。</w:t>
      </w:r>
    </w:p>
    <w:p>
      <w:pPr>
        <w:numPr>
          <w:ilvl w:val="0"/>
          <w:numId w:val="1"/>
        </w:numPr>
        <w:spacing w:line="540" w:lineRule="exact"/>
        <w:ind w:firstLine="640" w:firstLineChars="200"/>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pPr>
        <w:pStyle w:val="2"/>
        <w:spacing w:line="540" w:lineRule="exact"/>
        <w:ind w:firstLine="640"/>
        <w:rPr>
          <w:rFonts w:eastAsia="仿宋_GB2312"/>
          <w:sz w:val="32"/>
          <w:szCs w:val="32"/>
        </w:rPr>
      </w:pPr>
      <w:r>
        <w:rPr>
          <w:rFonts w:eastAsia="仿宋_GB2312"/>
          <w:sz w:val="32"/>
          <w:szCs w:val="32"/>
        </w:rPr>
        <w:t>（九）按照相关要求规范设置各类排污口和标志标牌，落实</w:t>
      </w:r>
      <w:r>
        <w:rPr>
          <w:rFonts w:hint="eastAsia" w:eastAsia="仿宋_GB2312"/>
          <w:sz w:val="32"/>
          <w:szCs w:val="32"/>
        </w:rPr>
        <w:t>报</w:t>
      </w:r>
      <w:r>
        <w:rPr>
          <w:rFonts w:eastAsia="仿宋_GB2312"/>
          <w:sz w:val="32"/>
          <w:szCs w:val="32"/>
        </w:rPr>
        <w:t>告表提出的环境管理要求和监测计划。</w:t>
      </w:r>
    </w:p>
    <w:p>
      <w:pPr>
        <w:pStyle w:val="2"/>
        <w:spacing w:line="540" w:lineRule="exact"/>
        <w:ind w:firstLine="640"/>
        <w:rPr>
          <w:rFonts w:eastAsia="仿宋_GB2312"/>
          <w:sz w:val="32"/>
          <w:szCs w:val="32"/>
        </w:rPr>
      </w:pPr>
      <w:r>
        <w:rPr>
          <w:rFonts w:hint="eastAsia" w:ascii="仿宋_GB2312" w:eastAsia="仿宋_GB2312"/>
          <w:sz w:val="32"/>
          <w:szCs w:val="32"/>
        </w:rPr>
        <w:t>（十）本项目</w:t>
      </w:r>
      <w:r>
        <w:rPr>
          <w:rFonts w:hint="eastAsia" w:eastAsia="仿宋_GB2312"/>
          <w:sz w:val="32"/>
          <w:szCs w:val="32"/>
        </w:rPr>
        <w:t>以生产车间边界为起点，向外划定50米范围为卫生防护距离控制区，该区域引进项目</w:t>
      </w:r>
      <w:r>
        <w:rPr>
          <w:rFonts w:hint="eastAsia" w:ascii="仿宋_GB2312" w:eastAsia="仿宋_GB2312"/>
          <w:sz w:val="32"/>
          <w:szCs w:val="32"/>
        </w:rPr>
        <w:t>时应注意其环境相容性，并协助镇政府监督项目卫生防护距离内不得新建居住、学校、医院等敏感建筑，发现问题及时向镇政府和相关部门反映。</w:t>
      </w:r>
    </w:p>
    <w:p>
      <w:pPr>
        <w:spacing w:line="540" w:lineRule="exact"/>
        <w:ind w:firstLine="640" w:firstLineChars="200"/>
        <w:rPr>
          <w:rFonts w:eastAsia="仿宋_GB2312"/>
          <w:sz w:val="32"/>
          <w:szCs w:val="32"/>
        </w:rPr>
      </w:pPr>
      <w:r>
        <w:rPr>
          <w:rFonts w:eastAsia="仿宋_GB2312"/>
          <w:sz w:val="32"/>
          <w:szCs w:val="32"/>
        </w:rPr>
        <w:t>三、该项目运营后，化学需氧量排放量为</w:t>
      </w:r>
      <w:r>
        <w:rPr>
          <w:rFonts w:hint="eastAsia" w:eastAsia="仿宋_GB2312"/>
          <w:sz w:val="32"/>
          <w:szCs w:val="32"/>
        </w:rPr>
        <w:t>0.009</w:t>
      </w:r>
      <w:r>
        <w:rPr>
          <w:rFonts w:eastAsia="仿宋_GB2312"/>
          <w:sz w:val="32"/>
          <w:szCs w:val="32"/>
        </w:rPr>
        <w:t>吨/年、氨氮排放量为</w:t>
      </w:r>
      <w:r>
        <w:rPr>
          <w:rFonts w:hint="eastAsia" w:eastAsia="仿宋_GB2312"/>
          <w:sz w:val="32"/>
          <w:szCs w:val="32"/>
        </w:rPr>
        <w:t>0.0014</w:t>
      </w:r>
      <w:r>
        <w:rPr>
          <w:rFonts w:eastAsia="仿宋_GB2312"/>
          <w:sz w:val="32"/>
          <w:szCs w:val="32"/>
        </w:rPr>
        <w:t>吨/年、</w:t>
      </w:r>
      <w:r>
        <w:rPr>
          <w:rFonts w:hint="eastAsia" w:eastAsia="仿宋_GB2312"/>
          <w:sz w:val="32"/>
          <w:szCs w:val="32"/>
        </w:rPr>
        <w:t>挥发性有机物排放量为0.187</w:t>
      </w:r>
      <w:r>
        <w:rPr>
          <w:rFonts w:eastAsia="仿宋_GB2312"/>
          <w:sz w:val="32"/>
          <w:szCs w:val="32"/>
        </w:rPr>
        <w:t>吨/年，</w:t>
      </w:r>
      <w:r>
        <w:rPr>
          <w:rFonts w:hint="eastAsia" w:ascii="仿宋_GB2312" w:eastAsia="仿宋_GB2312"/>
          <w:sz w:val="32"/>
          <w:szCs w:val="32"/>
        </w:rPr>
        <w:t>其总量控制指标按德阳市广汉生态环境局总量文件执行。</w:t>
      </w:r>
    </w:p>
    <w:p>
      <w:pPr>
        <w:spacing w:line="540" w:lineRule="exact"/>
        <w:ind w:firstLine="640" w:firstLineChars="200"/>
        <w:rPr>
          <w:rFonts w:eastAsia="仿宋_GB2312"/>
          <w:sz w:val="32"/>
          <w:szCs w:val="32"/>
        </w:rPr>
      </w:pPr>
      <w:r>
        <w:rPr>
          <w:rFonts w:eastAsia="仿宋_GB2312"/>
          <w:sz w:val="32"/>
          <w:szCs w:val="32"/>
        </w:rPr>
        <w:t>四、项目开工建设及投入运营前，应依法完备其他行政许可手续。</w:t>
      </w:r>
    </w:p>
    <w:p>
      <w:pPr>
        <w:spacing w:line="540" w:lineRule="exact"/>
        <w:ind w:firstLine="640" w:firstLineChars="200"/>
        <w:rPr>
          <w:rFonts w:eastAsia="仿宋_GB2312"/>
          <w:sz w:val="32"/>
          <w:szCs w:val="32"/>
        </w:rPr>
      </w:pPr>
      <w:r>
        <w:rPr>
          <w:rFonts w:eastAsia="仿宋_GB2312"/>
          <w:sz w:val="32"/>
          <w:szCs w:val="32"/>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pPr>
        <w:spacing w:line="540" w:lineRule="exact"/>
        <w:ind w:firstLine="640" w:firstLineChars="200"/>
        <w:rPr>
          <w:rFonts w:eastAsia="仿宋_GB2312"/>
          <w:sz w:val="32"/>
          <w:szCs w:val="32"/>
        </w:rPr>
      </w:pPr>
      <w:r>
        <w:rPr>
          <w:rFonts w:eastAsia="仿宋_GB2312"/>
          <w:sz w:val="32"/>
          <w:szCs w:val="32"/>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pPr>
        <w:spacing w:line="540" w:lineRule="exact"/>
        <w:ind w:firstLine="640" w:firstLineChars="200"/>
        <w:rPr>
          <w:rFonts w:eastAsia="仿宋_GB2312"/>
          <w:sz w:val="32"/>
          <w:szCs w:val="32"/>
        </w:rPr>
      </w:pPr>
      <w:r>
        <w:rPr>
          <w:rFonts w:eastAsia="仿宋_GB2312"/>
          <w:sz w:val="32"/>
          <w:szCs w:val="32"/>
        </w:rPr>
        <w:t>七、该项目的“三同时”监督检查、排污许可监管、日常环境保护监管工作由德阳市广汉生态环境保护综合行政执法大队负责，并接受各级生态环境部门的监督管理。</w:t>
      </w:r>
    </w:p>
    <w:p>
      <w:pPr>
        <w:spacing w:line="500" w:lineRule="exact"/>
        <w:ind w:right="241"/>
        <w:jc w:val="center"/>
        <w:rPr>
          <w:rFonts w:eastAsia="仿宋_GB2312"/>
          <w:sz w:val="32"/>
          <w:szCs w:val="32"/>
        </w:rPr>
      </w:pPr>
      <w:r>
        <w:rPr>
          <w:rFonts w:eastAsia="仿宋_GB2312"/>
          <w:sz w:val="32"/>
          <w:szCs w:val="32"/>
        </w:rPr>
        <w:t xml:space="preserve">                </w:t>
      </w:r>
    </w:p>
    <w:p>
      <w:pPr>
        <w:spacing w:line="500" w:lineRule="exact"/>
        <w:ind w:right="241"/>
        <w:jc w:val="center"/>
        <w:rPr>
          <w:rFonts w:eastAsia="仿宋_GB2312"/>
          <w:sz w:val="32"/>
          <w:szCs w:val="32"/>
        </w:rPr>
      </w:pPr>
      <w:r>
        <w:rPr>
          <w:rFonts w:eastAsia="仿宋_GB2312"/>
          <w:sz w:val="32"/>
          <w:szCs w:val="32"/>
        </w:rPr>
        <w:t xml:space="preserve">                  </w:t>
      </w:r>
    </w:p>
    <w:p>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pPr>
        <w:tabs>
          <w:tab w:val="left" w:pos="2175"/>
        </w:tabs>
        <w:spacing w:line="500" w:lineRule="exact"/>
        <w:ind w:right="461"/>
        <w:jc w:val="center"/>
        <w:rPr>
          <w:rFonts w:eastAsia="仿宋_GB2312"/>
        </w:rPr>
      </w:pPr>
      <w:r>
        <w:rPr>
          <w:rFonts w:eastAsia="仿宋_GB2312"/>
          <w:spacing w:val="-20"/>
          <w:sz w:val="32"/>
          <w:szCs w:val="32"/>
        </w:rPr>
        <w:t xml:space="preserve">                                               202</w:t>
      </w:r>
      <w:r>
        <w:rPr>
          <w:rFonts w:hint="eastAsia" w:eastAsia="仿宋_GB2312"/>
          <w:spacing w:val="-20"/>
          <w:sz w:val="32"/>
          <w:szCs w:val="32"/>
        </w:rPr>
        <w:t>4</w:t>
      </w:r>
      <w:r>
        <w:rPr>
          <w:rFonts w:eastAsia="仿宋_GB2312"/>
          <w:spacing w:val="-20"/>
          <w:sz w:val="32"/>
          <w:szCs w:val="32"/>
        </w:rPr>
        <w:t>年</w:t>
      </w:r>
      <w:r>
        <w:rPr>
          <w:rFonts w:hint="eastAsia" w:eastAsia="仿宋_GB2312"/>
          <w:spacing w:val="-20"/>
          <w:sz w:val="32"/>
          <w:szCs w:val="32"/>
        </w:rPr>
        <w:t>1</w:t>
      </w:r>
      <w:r>
        <w:rPr>
          <w:rFonts w:eastAsia="仿宋_GB2312"/>
          <w:spacing w:val="-20"/>
          <w:sz w:val="32"/>
          <w:szCs w:val="32"/>
        </w:rPr>
        <w:t>月</w:t>
      </w:r>
      <w:r>
        <w:rPr>
          <w:rFonts w:hint="eastAsia" w:eastAsia="仿宋_GB2312"/>
          <w:spacing w:val="-20"/>
          <w:sz w:val="32"/>
          <w:szCs w:val="32"/>
        </w:rPr>
        <w:t>11</w:t>
      </w:r>
      <w:r>
        <w:rPr>
          <w:rFonts w:eastAsia="仿宋_GB2312"/>
          <w:spacing w:val="-20"/>
          <w:sz w:val="32"/>
          <w:szCs w:val="32"/>
        </w:rPr>
        <w:t xml:space="preserve">日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path/>
          <v:fill on="f" focussize="0,0"/>
          <v:stroke on="f" joinstyle="miter"/>
          <v:imagedata o:title=""/>
          <o:lock v:ext="edit"/>
          <v:textbox inset="0mm,0mm,0mm,0mm" style="mso-fit-shape-to-text:t;">
            <w:txbxContent>
              <w:p>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jUwNzQ1YTM5Njc1OGNjMWVlMWZhMzM0ZDAwYTIwMGYifQ=="/>
  </w:docVars>
  <w:rsids>
    <w:rsidRoot w:val="0003179C"/>
    <w:rsid w:val="00005ADC"/>
    <w:rsid w:val="00011F7F"/>
    <w:rsid w:val="00021F8C"/>
    <w:rsid w:val="0002413B"/>
    <w:rsid w:val="00024CD3"/>
    <w:rsid w:val="0003179C"/>
    <w:rsid w:val="00032A19"/>
    <w:rsid w:val="000372EE"/>
    <w:rsid w:val="00053344"/>
    <w:rsid w:val="00063FB5"/>
    <w:rsid w:val="000651B5"/>
    <w:rsid w:val="00080C99"/>
    <w:rsid w:val="000830CB"/>
    <w:rsid w:val="000857E7"/>
    <w:rsid w:val="000A0022"/>
    <w:rsid w:val="000A00A7"/>
    <w:rsid w:val="000A02AD"/>
    <w:rsid w:val="000A193C"/>
    <w:rsid w:val="000A549E"/>
    <w:rsid w:val="000C0A77"/>
    <w:rsid w:val="000C274D"/>
    <w:rsid w:val="000C3931"/>
    <w:rsid w:val="000D11FF"/>
    <w:rsid w:val="000D2139"/>
    <w:rsid w:val="000D5628"/>
    <w:rsid w:val="000D7B29"/>
    <w:rsid w:val="000E1021"/>
    <w:rsid w:val="000E2D2C"/>
    <w:rsid w:val="000E63F7"/>
    <w:rsid w:val="000F39BE"/>
    <w:rsid w:val="000F62F6"/>
    <w:rsid w:val="000F7698"/>
    <w:rsid w:val="001005A9"/>
    <w:rsid w:val="001071B7"/>
    <w:rsid w:val="00130DB0"/>
    <w:rsid w:val="00133D26"/>
    <w:rsid w:val="001368A7"/>
    <w:rsid w:val="00150925"/>
    <w:rsid w:val="00157DF1"/>
    <w:rsid w:val="00160EEB"/>
    <w:rsid w:val="00161E2D"/>
    <w:rsid w:val="00164D44"/>
    <w:rsid w:val="00166DBC"/>
    <w:rsid w:val="00171716"/>
    <w:rsid w:val="00171B10"/>
    <w:rsid w:val="001731CE"/>
    <w:rsid w:val="0018347B"/>
    <w:rsid w:val="00183773"/>
    <w:rsid w:val="00184BCE"/>
    <w:rsid w:val="0018568F"/>
    <w:rsid w:val="00191709"/>
    <w:rsid w:val="001927D3"/>
    <w:rsid w:val="00192B65"/>
    <w:rsid w:val="00195F9C"/>
    <w:rsid w:val="001A402C"/>
    <w:rsid w:val="001A5E72"/>
    <w:rsid w:val="001A61A6"/>
    <w:rsid w:val="001A771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413E9"/>
    <w:rsid w:val="00253ABC"/>
    <w:rsid w:val="00254D5D"/>
    <w:rsid w:val="002623A6"/>
    <w:rsid w:val="00272F9A"/>
    <w:rsid w:val="0027760F"/>
    <w:rsid w:val="0028364E"/>
    <w:rsid w:val="00292D52"/>
    <w:rsid w:val="002A4AF5"/>
    <w:rsid w:val="002A4BFB"/>
    <w:rsid w:val="002A631D"/>
    <w:rsid w:val="002B47F6"/>
    <w:rsid w:val="002C4E56"/>
    <w:rsid w:val="002C751B"/>
    <w:rsid w:val="002C7789"/>
    <w:rsid w:val="002D2090"/>
    <w:rsid w:val="002D4FF7"/>
    <w:rsid w:val="002E3E7F"/>
    <w:rsid w:val="002E721F"/>
    <w:rsid w:val="002F3583"/>
    <w:rsid w:val="002F75F0"/>
    <w:rsid w:val="00300D8F"/>
    <w:rsid w:val="00301EAB"/>
    <w:rsid w:val="00303D7F"/>
    <w:rsid w:val="003131F1"/>
    <w:rsid w:val="00315664"/>
    <w:rsid w:val="00316A38"/>
    <w:rsid w:val="00317912"/>
    <w:rsid w:val="00321D4A"/>
    <w:rsid w:val="0034116A"/>
    <w:rsid w:val="0035199D"/>
    <w:rsid w:val="00363B27"/>
    <w:rsid w:val="0036593D"/>
    <w:rsid w:val="003667F6"/>
    <w:rsid w:val="00367BA2"/>
    <w:rsid w:val="00371E41"/>
    <w:rsid w:val="00375001"/>
    <w:rsid w:val="00381040"/>
    <w:rsid w:val="00382225"/>
    <w:rsid w:val="003830EB"/>
    <w:rsid w:val="003946C3"/>
    <w:rsid w:val="003A0501"/>
    <w:rsid w:val="003A1BBE"/>
    <w:rsid w:val="003A3C30"/>
    <w:rsid w:val="003A4F78"/>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330E"/>
    <w:rsid w:val="00447799"/>
    <w:rsid w:val="0046380B"/>
    <w:rsid w:val="00475526"/>
    <w:rsid w:val="004838AF"/>
    <w:rsid w:val="00486136"/>
    <w:rsid w:val="00486C34"/>
    <w:rsid w:val="004927C5"/>
    <w:rsid w:val="004B79F6"/>
    <w:rsid w:val="004D1FFC"/>
    <w:rsid w:val="004D35EB"/>
    <w:rsid w:val="004E59DC"/>
    <w:rsid w:val="004E7DE9"/>
    <w:rsid w:val="004F2936"/>
    <w:rsid w:val="004F666B"/>
    <w:rsid w:val="004F6CC4"/>
    <w:rsid w:val="00504D52"/>
    <w:rsid w:val="00506EA3"/>
    <w:rsid w:val="00506EE2"/>
    <w:rsid w:val="00512B6C"/>
    <w:rsid w:val="00513162"/>
    <w:rsid w:val="00516C3A"/>
    <w:rsid w:val="00522ED3"/>
    <w:rsid w:val="00530EE1"/>
    <w:rsid w:val="005328A0"/>
    <w:rsid w:val="00541AD0"/>
    <w:rsid w:val="0054605B"/>
    <w:rsid w:val="0056221D"/>
    <w:rsid w:val="0056688D"/>
    <w:rsid w:val="0057102C"/>
    <w:rsid w:val="00572DE9"/>
    <w:rsid w:val="00587C06"/>
    <w:rsid w:val="005A0ECE"/>
    <w:rsid w:val="005A0FB6"/>
    <w:rsid w:val="005A25EC"/>
    <w:rsid w:val="005A5B5E"/>
    <w:rsid w:val="005A68D8"/>
    <w:rsid w:val="005A6D4B"/>
    <w:rsid w:val="005C28E9"/>
    <w:rsid w:val="005C2F71"/>
    <w:rsid w:val="005C7677"/>
    <w:rsid w:val="005E34CF"/>
    <w:rsid w:val="005E5257"/>
    <w:rsid w:val="005F2E62"/>
    <w:rsid w:val="00602205"/>
    <w:rsid w:val="006043F1"/>
    <w:rsid w:val="006065ED"/>
    <w:rsid w:val="00607009"/>
    <w:rsid w:val="00614605"/>
    <w:rsid w:val="00616979"/>
    <w:rsid w:val="00636CA3"/>
    <w:rsid w:val="006374F5"/>
    <w:rsid w:val="00637AA3"/>
    <w:rsid w:val="00644584"/>
    <w:rsid w:val="00647CE5"/>
    <w:rsid w:val="006607ED"/>
    <w:rsid w:val="006630E2"/>
    <w:rsid w:val="00663FB5"/>
    <w:rsid w:val="00671556"/>
    <w:rsid w:val="00674F59"/>
    <w:rsid w:val="00693AAA"/>
    <w:rsid w:val="006A0A56"/>
    <w:rsid w:val="006A2B49"/>
    <w:rsid w:val="006A4599"/>
    <w:rsid w:val="006B164E"/>
    <w:rsid w:val="006B1D9E"/>
    <w:rsid w:val="006B323D"/>
    <w:rsid w:val="006B4EAA"/>
    <w:rsid w:val="006C0005"/>
    <w:rsid w:val="006C0A10"/>
    <w:rsid w:val="006C5CD2"/>
    <w:rsid w:val="006C5D86"/>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E03"/>
    <w:rsid w:val="007275CC"/>
    <w:rsid w:val="00735699"/>
    <w:rsid w:val="00743707"/>
    <w:rsid w:val="00750A74"/>
    <w:rsid w:val="0076077A"/>
    <w:rsid w:val="00765E43"/>
    <w:rsid w:val="0076693B"/>
    <w:rsid w:val="00766D16"/>
    <w:rsid w:val="00773916"/>
    <w:rsid w:val="007756C4"/>
    <w:rsid w:val="00775F67"/>
    <w:rsid w:val="00780F68"/>
    <w:rsid w:val="00781872"/>
    <w:rsid w:val="00782501"/>
    <w:rsid w:val="00792BB7"/>
    <w:rsid w:val="00792C4A"/>
    <w:rsid w:val="00793870"/>
    <w:rsid w:val="007966D2"/>
    <w:rsid w:val="007C0552"/>
    <w:rsid w:val="007C3414"/>
    <w:rsid w:val="007C36C0"/>
    <w:rsid w:val="007C4CF8"/>
    <w:rsid w:val="007C7858"/>
    <w:rsid w:val="007D03F5"/>
    <w:rsid w:val="007D783C"/>
    <w:rsid w:val="007E4AB6"/>
    <w:rsid w:val="007E4F05"/>
    <w:rsid w:val="007F13A8"/>
    <w:rsid w:val="007F2569"/>
    <w:rsid w:val="007F6C6F"/>
    <w:rsid w:val="007F7A81"/>
    <w:rsid w:val="00803068"/>
    <w:rsid w:val="00807FE9"/>
    <w:rsid w:val="0081531F"/>
    <w:rsid w:val="00817CC3"/>
    <w:rsid w:val="00823594"/>
    <w:rsid w:val="008254A4"/>
    <w:rsid w:val="00833747"/>
    <w:rsid w:val="00837A60"/>
    <w:rsid w:val="0084211C"/>
    <w:rsid w:val="008461BD"/>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F34D5"/>
    <w:rsid w:val="008F6429"/>
    <w:rsid w:val="0090131A"/>
    <w:rsid w:val="00901F28"/>
    <w:rsid w:val="00903F9A"/>
    <w:rsid w:val="0090736C"/>
    <w:rsid w:val="00916870"/>
    <w:rsid w:val="00917771"/>
    <w:rsid w:val="0091798D"/>
    <w:rsid w:val="00917AC2"/>
    <w:rsid w:val="00922494"/>
    <w:rsid w:val="00922B09"/>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45F2"/>
    <w:rsid w:val="009A5B64"/>
    <w:rsid w:val="009B4EF0"/>
    <w:rsid w:val="009B530D"/>
    <w:rsid w:val="009B55AB"/>
    <w:rsid w:val="009B66C0"/>
    <w:rsid w:val="009B6FEB"/>
    <w:rsid w:val="009C1BFC"/>
    <w:rsid w:val="009C337D"/>
    <w:rsid w:val="009C43B0"/>
    <w:rsid w:val="009D1CD1"/>
    <w:rsid w:val="009D2CAD"/>
    <w:rsid w:val="009E13CF"/>
    <w:rsid w:val="009E6525"/>
    <w:rsid w:val="00A05315"/>
    <w:rsid w:val="00A27714"/>
    <w:rsid w:val="00A313C1"/>
    <w:rsid w:val="00A31B4D"/>
    <w:rsid w:val="00A40D59"/>
    <w:rsid w:val="00A52EAF"/>
    <w:rsid w:val="00A5690E"/>
    <w:rsid w:val="00A636F6"/>
    <w:rsid w:val="00A671AB"/>
    <w:rsid w:val="00A67EB4"/>
    <w:rsid w:val="00A70B8F"/>
    <w:rsid w:val="00A7100B"/>
    <w:rsid w:val="00A77388"/>
    <w:rsid w:val="00A81950"/>
    <w:rsid w:val="00A8281F"/>
    <w:rsid w:val="00A913C7"/>
    <w:rsid w:val="00A95ECA"/>
    <w:rsid w:val="00A967E4"/>
    <w:rsid w:val="00A97CE0"/>
    <w:rsid w:val="00AA0C3A"/>
    <w:rsid w:val="00AA57E0"/>
    <w:rsid w:val="00AA73C3"/>
    <w:rsid w:val="00AC7360"/>
    <w:rsid w:val="00AD6398"/>
    <w:rsid w:val="00AD76B1"/>
    <w:rsid w:val="00AE659E"/>
    <w:rsid w:val="00AE6615"/>
    <w:rsid w:val="00B151E5"/>
    <w:rsid w:val="00B17A40"/>
    <w:rsid w:val="00B20FF1"/>
    <w:rsid w:val="00B3207D"/>
    <w:rsid w:val="00B350AE"/>
    <w:rsid w:val="00B37DCD"/>
    <w:rsid w:val="00B418D6"/>
    <w:rsid w:val="00B50A65"/>
    <w:rsid w:val="00B523DF"/>
    <w:rsid w:val="00B5455B"/>
    <w:rsid w:val="00B57265"/>
    <w:rsid w:val="00B60A36"/>
    <w:rsid w:val="00B60E49"/>
    <w:rsid w:val="00B62BAB"/>
    <w:rsid w:val="00B64E31"/>
    <w:rsid w:val="00B67454"/>
    <w:rsid w:val="00B67CAC"/>
    <w:rsid w:val="00B74ACB"/>
    <w:rsid w:val="00B811C2"/>
    <w:rsid w:val="00B8191C"/>
    <w:rsid w:val="00B95F03"/>
    <w:rsid w:val="00BA25DD"/>
    <w:rsid w:val="00BA2DBC"/>
    <w:rsid w:val="00BA4C19"/>
    <w:rsid w:val="00BB28FB"/>
    <w:rsid w:val="00BB4D74"/>
    <w:rsid w:val="00BB6796"/>
    <w:rsid w:val="00BC0511"/>
    <w:rsid w:val="00BE174A"/>
    <w:rsid w:val="00C03F4A"/>
    <w:rsid w:val="00C04433"/>
    <w:rsid w:val="00C05BCA"/>
    <w:rsid w:val="00C07820"/>
    <w:rsid w:val="00C10ED7"/>
    <w:rsid w:val="00C17B0E"/>
    <w:rsid w:val="00C21343"/>
    <w:rsid w:val="00C26B2F"/>
    <w:rsid w:val="00C365BC"/>
    <w:rsid w:val="00C47486"/>
    <w:rsid w:val="00C52019"/>
    <w:rsid w:val="00C60E30"/>
    <w:rsid w:val="00C641EF"/>
    <w:rsid w:val="00C741CB"/>
    <w:rsid w:val="00C74DFB"/>
    <w:rsid w:val="00C835B0"/>
    <w:rsid w:val="00C90F36"/>
    <w:rsid w:val="00C924A8"/>
    <w:rsid w:val="00CA29B5"/>
    <w:rsid w:val="00CB513C"/>
    <w:rsid w:val="00CD32FF"/>
    <w:rsid w:val="00CD425C"/>
    <w:rsid w:val="00CD4EF6"/>
    <w:rsid w:val="00CD56A0"/>
    <w:rsid w:val="00CD642F"/>
    <w:rsid w:val="00CE4574"/>
    <w:rsid w:val="00CE4804"/>
    <w:rsid w:val="00CF0C44"/>
    <w:rsid w:val="00CF3363"/>
    <w:rsid w:val="00CF7388"/>
    <w:rsid w:val="00D00522"/>
    <w:rsid w:val="00D07917"/>
    <w:rsid w:val="00D3039F"/>
    <w:rsid w:val="00D36520"/>
    <w:rsid w:val="00D43667"/>
    <w:rsid w:val="00D63516"/>
    <w:rsid w:val="00D748BA"/>
    <w:rsid w:val="00D76710"/>
    <w:rsid w:val="00D769E2"/>
    <w:rsid w:val="00D9075C"/>
    <w:rsid w:val="00D93FEF"/>
    <w:rsid w:val="00D97F76"/>
    <w:rsid w:val="00DA3EA5"/>
    <w:rsid w:val="00DB6CAC"/>
    <w:rsid w:val="00DD38B9"/>
    <w:rsid w:val="00DE1261"/>
    <w:rsid w:val="00DE18A0"/>
    <w:rsid w:val="00DE2BDA"/>
    <w:rsid w:val="00DE33B0"/>
    <w:rsid w:val="00DE711C"/>
    <w:rsid w:val="00DF15F3"/>
    <w:rsid w:val="00DF2F09"/>
    <w:rsid w:val="00DF7285"/>
    <w:rsid w:val="00E26603"/>
    <w:rsid w:val="00E30271"/>
    <w:rsid w:val="00E3069B"/>
    <w:rsid w:val="00E311F8"/>
    <w:rsid w:val="00E31637"/>
    <w:rsid w:val="00E36333"/>
    <w:rsid w:val="00E37650"/>
    <w:rsid w:val="00E441AB"/>
    <w:rsid w:val="00E476BA"/>
    <w:rsid w:val="00E50700"/>
    <w:rsid w:val="00E65EFF"/>
    <w:rsid w:val="00E7067C"/>
    <w:rsid w:val="00E75C07"/>
    <w:rsid w:val="00E821B0"/>
    <w:rsid w:val="00E97C47"/>
    <w:rsid w:val="00EA518A"/>
    <w:rsid w:val="00EB51BB"/>
    <w:rsid w:val="00ED0085"/>
    <w:rsid w:val="00ED3116"/>
    <w:rsid w:val="00EE0357"/>
    <w:rsid w:val="00EE1556"/>
    <w:rsid w:val="00EE1700"/>
    <w:rsid w:val="00EE67AD"/>
    <w:rsid w:val="00EE7AE6"/>
    <w:rsid w:val="00EF5BA2"/>
    <w:rsid w:val="00EF6140"/>
    <w:rsid w:val="00EF72D6"/>
    <w:rsid w:val="00F00BCE"/>
    <w:rsid w:val="00F01DC2"/>
    <w:rsid w:val="00F0557A"/>
    <w:rsid w:val="00F10906"/>
    <w:rsid w:val="00F124C1"/>
    <w:rsid w:val="00F1473F"/>
    <w:rsid w:val="00F25F38"/>
    <w:rsid w:val="00F27497"/>
    <w:rsid w:val="00F313D7"/>
    <w:rsid w:val="00F33D78"/>
    <w:rsid w:val="00F362A5"/>
    <w:rsid w:val="00F37363"/>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C4741"/>
    <w:rsid w:val="00FD25C2"/>
    <w:rsid w:val="00FE052B"/>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DB240E"/>
    <w:rsid w:val="03F35905"/>
    <w:rsid w:val="03FF434E"/>
    <w:rsid w:val="04027450"/>
    <w:rsid w:val="041B0A5C"/>
    <w:rsid w:val="045A77D7"/>
    <w:rsid w:val="04642403"/>
    <w:rsid w:val="046643CE"/>
    <w:rsid w:val="04815B03"/>
    <w:rsid w:val="04996800"/>
    <w:rsid w:val="049C1B9D"/>
    <w:rsid w:val="04A9250C"/>
    <w:rsid w:val="04C342ED"/>
    <w:rsid w:val="04C76E69"/>
    <w:rsid w:val="04E23328"/>
    <w:rsid w:val="051C2E67"/>
    <w:rsid w:val="05235E1B"/>
    <w:rsid w:val="05393890"/>
    <w:rsid w:val="053E0EA6"/>
    <w:rsid w:val="05410997"/>
    <w:rsid w:val="05412745"/>
    <w:rsid w:val="05445A00"/>
    <w:rsid w:val="05502988"/>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A0A75A9"/>
    <w:rsid w:val="0A1421D6"/>
    <w:rsid w:val="0A213B7C"/>
    <w:rsid w:val="0A3B3C06"/>
    <w:rsid w:val="0A3C6360"/>
    <w:rsid w:val="0A544CC8"/>
    <w:rsid w:val="0A615D01"/>
    <w:rsid w:val="0A7315F2"/>
    <w:rsid w:val="0AAE3D20"/>
    <w:rsid w:val="0AB15C77"/>
    <w:rsid w:val="0AB17A25"/>
    <w:rsid w:val="0ABB4590"/>
    <w:rsid w:val="0AC7549A"/>
    <w:rsid w:val="0AC97464"/>
    <w:rsid w:val="0AEF054D"/>
    <w:rsid w:val="0B04224A"/>
    <w:rsid w:val="0B0E1132"/>
    <w:rsid w:val="0B106E41"/>
    <w:rsid w:val="0B1D330C"/>
    <w:rsid w:val="0B2B3C7B"/>
    <w:rsid w:val="0B633415"/>
    <w:rsid w:val="0B637D6D"/>
    <w:rsid w:val="0B735B50"/>
    <w:rsid w:val="0B7A42BB"/>
    <w:rsid w:val="0BA94BA0"/>
    <w:rsid w:val="0BAF6289"/>
    <w:rsid w:val="0BF50F82"/>
    <w:rsid w:val="0C023485"/>
    <w:rsid w:val="0C377300"/>
    <w:rsid w:val="0C6330BB"/>
    <w:rsid w:val="0C6512EC"/>
    <w:rsid w:val="0C8573BB"/>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F203FA"/>
    <w:rsid w:val="2CF5538E"/>
    <w:rsid w:val="2CFC5020"/>
    <w:rsid w:val="2D0619FA"/>
    <w:rsid w:val="2D1B54A6"/>
    <w:rsid w:val="2D236108"/>
    <w:rsid w:val="2D300825"/>
    <w:rsid w:val="2D340315"/>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C1DA5"/>
    <w:rsid w:val="2F5C5965"/>
    <w:rsid w:val="2F61560E"/>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1F688F"/>
    <w:rsid w:val="3B343BD6"/>
    <w:rsid w:val="3B3F4A55"/>
    <w:rsid w:val="3B4363F3"/>
    <w:rsid w:val="3B447E14"/>
    <w:rsid w:val="3B4A2945"/>
    <w:rsid w:val="3B4D537C"/>
    <w:rsid w:val="3B506C62"/>
    <w:rsid w:val="3B516536"/>
    <w:rsid w:val="3B545EC1"/>
    <w:rsid w:val="3B567FF1"/>
    <w:rsid w:val="3B583D69"/>
    <w:rsid w:val="3B710987"/>
    <w:rsid w:val="3B9C6B79"/>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849C5"/>
    <w:rsid w:val="3CCB40C7"/>
    <w:rsid w:val="3CCD6091"/>
    <w:rsid w:val="3CD76F0F"/>
    <w:rsid w:val="3D0870C9"/>
    <w:rsid w:val="3D143CBF"/>
    <w:rsid w:val="3D184000"/>
    <w:rsid w:val="3D217848"/>
    <w:rsid w:val="3D232155"/>
    <w:rsid w:val="3D251A29"/>
    <w:rsid w:val="3D540560"/>
    <w:rsid w:val="3D6562C9"/>
    <w:rsid w:val="3D6B20F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A42E21"/>
    <w:rsid w:val="3EAA3332"/>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02E36"/>
    <w:rsid w:val="3F9A4950"/>
    <w:rsid w:val="3FBB535A"/>
    <w:rsid w:val="3FC92B3F"/>
    <w:rsid w:val="3FDD483D"/>
    <w:rsid w:val="3FEF41CE"/>
    <w:rsid w:val="3FFC1167"/>
    <w:rsid w:val="4004001B"/>
    <w:rsid w:val="40095C18"/>
    <w:rsid w:val="40322DDA"/>
    <w:rsid w:val="40356427"/>
    <w:rsid w:val="40703903"/>
    <w:rsid w:val="40896772"/>
    <w:rsid w:val="4090365D"/>
    <w:rsid w:val="4099733F"/>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A75102"/>
    <w:rsid w:val="41C23CEA"/>
    <w:rsid w:val="41C77552"/>
    <w:rsid w:val="41D57EC9"/>
    <w:rsid w:val="41D8350E"/>
    <w:rsid w:val="41E37BC2"/>
    <w:rsid w:val="41FB71FC"/>
    <w:rsid w:val="420B3A2C"/>
    <w:rsid w:val="420C1409"/>
    <w:rsid w:val="421B5D6B"/>
    <w:rsid w:val="423C2823"/>
    <w:rsid w:val="4254433F"/>
    <w:rsid w:val="42554B5E"/>
    <w:rsid w:val="426E4E56"/>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D7A5B"/>
    <w:rsid w:val="46F81F5C"/>
    <w:rsid w:val="46FA5483"/>
    <w:rsid w:val="471E5E67"/>
    <w:rsid w:val="472965B9"/>
    <w:rsid w:val="47384C7B"/>
    <w:rsid w:val="475A0604"/>
    <w:rsid w:val="47605BC6"/>
    <w:rsid w:val="476A2E5A"/>
    <w:rsid w:val="477737C9"/>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B1201E"/>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1C1C97"/>
    <w:rsid w:val="57407733"/>
    <w:rsid w:val="574762AC"/>
    <w:rsid w:val="575148C3"/>
    <w:rsid w:val="5759158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7E2795"/>
    <w:rsid w:val="59926240"/>
    <w:rsid w:val="59967ADE"/>
    <w:rsid w:val="59995821"/>
    <w:rsid w:val="59AD0175"/>
    <w:rsid w:val="59BB5797"/>
    <w:rsid w:val="59BD15E4"/>
    <w:rsid w:val="59D41515"/>
    <w:rsid w:val="59E92304"/>
    <w:rsid w:val="59EC76FE"/>
    <w:rsid w:val="59EE791A"/>
    <w:rsid w:val="59F36CDF"/>
    <w:rsid w:val="59FD5DAF"/>
    <w:rsid w:val="5A1B4488"/>
    <w:rsid w:val="5A1D3D5C"/>
    <w:rsid w:val="5A3A4A65"/>
    <w:rsid w:val="5A5E7287"/>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E288C"/>
    <w:rsid w:val="5BCF1086"/>
    <w:rsid w:val="5BD003F9"/>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91625"/>
    <w:rsid w:val="62DB0C58"/>
    <w:rsid w:val="630C2E67"/>
    <w:rsid w:val="630F26B0"/>
    <w:rsid w:val="632F7857"/>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7473F9"/>
    <w:rsid w:val="6687220D"/>
    <w:rsid w:val="66884C53"/>
    <w:rsid w:val="668D0B69"/>
    <w:rsid w:val="66A01F9C"/>
    <w:rsid w:val="66AD6467"/>
    <w:rsid w:val="66C0263F"/>
    <w:rsid w:val="66C50F54"/>
    <w:rsid w:val="66C67529"/>
    <w:rsid w:val="66D659BE"/>
    <w:rsid w:val="66E75E1D"/>
    <w:rsid w:val="66FE6CC3"/>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5643C1"/>
    <w:rsid w:val="6B67752D"/>
    <w:rsid w:val="6B704751"/>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w:basedOn w:val="1"/>
    <w:autoRedefine/>
    <w:qFormat/>
    <w:uiPriority w:val="0"/>
    <w:pPr>
      <w:spacing w:line="360" w:lineRule="auto"/>
      <w:ind w:firstLine="200" w:firstLineChars="200"/>
    </w:pPr>
    <w:rPr>
      <w:sz w:val="24"/>
      <w:szCs w:val="28"/>
    </w:rPr>
  </w:style>
  <w:style w:type="paragraph" w:styleId="3">
    <w:name w:val="Date"/>
    <w:basedOn w:val="1"/>
    <w:next w:val="1"/>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qFormat/>
    <w:uiPriority w:val="0"/>
    <w:pPr>
      <w:jc w:val="center"/>
    </w:pPr>
    <w:rPr>
      <w:rFonts w:hint="eastAsia" w:ascii="方正小标宋简体" w:eastAsia="方正小标宋简体"/>
      <w:sz w:val="36"/>
      <w:szCs w:val="20"/>
    </w:rPr>
  </w:style>
  <w:style w:type="paragraph" w:styleId="8">
    <w:name w:val="Normal (Web)"/>
    <w:basedOn w:val="1"/>
    <w:autoRedefine/>
    <w:qFormat/>
    <w:uiPriority w:val="0"/>
    <w:pPr>
      <w:spacing w:before="100" w:beforeAutospacing="1" w:after="100" w:afterAutospacing="1"/>
      <w:jc w:val="left"/>
    </w:pPr>
    <w:rPr>
      <w:kern w:val="0"/>
      <w:sz w:val="24"/>
    </w:rPr>
  </w:style>
  <w:style w:type="character" w:styleId="11">
    <w:name w:val="page number"/>
    <w:basedOn w:val="10"/>
    <w:autoRedefine/>
    <w:qFormat/>
    <w:uiPriority w:val="0"/>
  </w:style>
  <w:style w:type="character" w:styleId="12">
    <w:name w:val="FollowedHyperlink"/>
    <w:autoRedefine/>
    <w:qFormat/>
    <w:uiPriority w:val="0"/>
    <w:rPr>
      <w:color w:val="343434"/>
      <w:u w:val="none"/>
    </w:rPr>
  </w:style>
  <w:style w:type="character" w:styleId="13">
    <w:name w:val="Hyperlink"/>
    <w:autoRedefine/>
    <w:qFormat/>
    <w:uiPriority w:val="0"/>
    <w:rPr>
      <w:color w:val="343434"/>
      <w:u w:val="none"/>
    </w:rPr>
  </w:style>
  <w:style w:type="character" w:customStyle="1" w:styleId="14">
    <w:name w:val="标准正文 Char"/>
    <w:link w:val="15"/>
    <w:autoRedefine/>
    <w:qFormat/>
    <w:uiPriority w:val="0"/>
    <w:rPr>
      <w:rFonts w:eastAsia="宋体"/>
      <w:sz w:val="24"/>
      <w:szCs w:val="24"/>
      <w:lang w:val="en-US" w:eastAsia="zh-CN" w:bidi="ar-SA"/>
    </w:rPr>
  </w:style>
  <w:style w:type="paragraph" w:customStyle="1" w:styleId="15">
    <w:name w:val="标准正文"/>
    <w:link w:val="14"/>
    <w:autoRedefine/>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autoRedefine/>
    <w:qFormat/>
    <w:uiPriority w:val="0"/>
    <w:rPr>
      <w:rFonts w:eastAsia="宋体" w:cs="宋体"/>
      <w:kern w:val="2"/>
      <w:sz w:val="28"/>
      <w:lang w:val="en-US" w:eastAsia="zh-CN" w:bidi="ar-SA"/>
    </w:rPr>
  </w:style>
  <w:style w:type="paragraph" w:customStyle="1" w:styleId="17">
    <w:name w:val="正文四号"/>
    <w:basedOn w:val="1"/>
    <w:link w:val="16"/>
    <w:autoRedefine/>
    <w:qFormat/>
    <w:uiPriority w:val="0"/>
    <w:pPr>
      <w:spacing w:line="360" w:lineRule="auto"/>
      <w:ind w:firstLine="200" w:firstLineChars="200"/>
    </w:pPr>
    <w:rPr>
      <w:rFonts w:cs="宋体"/>
      <w:sz w:val="28"/>
      <w:szCs w:val="20"/>
    </w:rPr>
  </w:style>
  <w:style w:type="character" w:customStyle="1" w:styleId="18">
    <w:name w:val="【正文】 Char"/>
    <w:link w:val="19"/>
    <w:autoRedefine/>
    <w:qFormat/>
    <w:uiPriority w:val="0"/>
    <w:rPr>
      <w:rFonts w:eastAsia="宋体"/>
      <w:sz w:val="24"/>
      <w:lang w:bidi="ar-SA"/>
    </w:rPr>
  </w:style>
  <w:style w:type="paragraph" w:customStyle="1" w:styleId="19">
    <w:name w:val="【正文】"/>
    <w:basedOn w:val="1"/>
    <w:link w:val="18"/>
    <w:autoRedefine/>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autoRedefine/>
    <w:qFormat/>
    <w:uiPriority w:val="0"/>
    <w:rPr>
      <w:sz w:val="24"/>
    </w:rPr>
  </w:style>
  <w:style w:type="paragraph" w:customStyle="1" w:styleId="21">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autoRedefine/>
    <w:qFormat/>
    <w:uiPriority w:val="0"/>
    <w:rPr>
      <w:sz w:val="24"/>
    </w:rPr>
  </w:style>
  <w:style w:type="paragraph" w:customStyle="1" w:styleId="23">
    <w:name w:val="Char Char Char Char5"/>
    <w:basedOn w:val="1"/>
    <w:autoRedefine/>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367F6-87B6-4934-AB5C-BAA47D9648F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393</Words>
  <Characters>2244</Characters>
  <Lines>18</Lines>
  <Paragraphs>5</Paragraphs>
  <TotalTime>623</TotalTime>
  <ScaleCrop>false</ScaleCrop>
  <LinksUpToDate>false</LinksUpToDate>
  <CharactersWithSpaces>2632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2019-09-27T06:17:00Z</dcterms:created>
  <dc:creator>walkinnet</dc:creator>
  <cp:lastModifiedBy>Lenovo</cp:lastModifiedBy>
  <cp:lastPrinted>2024-01-11T07:58:27Z</cp:lastPrinted>
  <dcterms:modified xsi:type="dcterms:W3CDTF">2024-01-11T07:58:32Z</dcterms:modified>
  <dc:subject>关于四川创智森悦机械有限公司汽车零部件及配件加工项目《环境影响报告表》的批复</dc:subject>
  <dc:title>德环审批[2023]号</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35A97EFDA1094A35A142722D34E60171</vt:lpwstr>
  </property>
</Properties>
</file>