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1B" w:rsidRDefault="002B2A1B">
      <w:pPr>
        <w:spacing w:line="600" w:lineRule="exact"/>
        <w:jc w:val="center"/>
        <w:outlineLvl w:val="0"/>
        <w:rPr>
          <w:rFonts w:ascii="方正小标宋简体" w:eastAsia="方正小标宋简体" w:hAnsi="宋体"/>
          <w:color w:val="000000"/>
          <w:sz w:val="72"/>
          <w:szCs w:val="72"/>
        </w:rPr>
      </w:pPr>
      <w:bookmarkStart w:id="0" w:name="_Toc15306267"/>
    </w:p>
    <w:p w:rsidR="002B2A1B" w:rsidRDefault="00572AE8">
      <w:pPr>
        <w:pStyle w:val="1"/>
        <w:jc w:val="center"/>
        <w:rPr>
          <w:rStyle w:val="1Char"/>
          <w:rFonts w:ascii="黑体" w:eastAsia="黑体" w:hAnsi="黑体"/>
          <w:b/>
        </w:rPr>
      </w:pPr>
      <w:bookmarkStart w:id="1" w:name="_Toc15377196"/>
      <w:bookmarkStart w:id="2" w:name="_Toc15396599"/>
      <w:bookmarkEnd w:id="0"/>
      <w:r>
        <w:rPr>
          <w:rFonts w:ascii="黑体" w:eastAsia="黑体" w:hAnsi="黑体" w:hint="eastAsia"/>
          <w:b w:val="0"/>
        </w:rPr>
        <w:t>第一部分</w:t>
      </w:r>
      <w:r>
        <w:rPr>
          <w:rFonts w:ascii="黑体" w:eastAsia="黑体" w:hAnsi="黑体" w:hint="eastAsia"/>
          <w:b w:val="0"/>
        </w:rPr>
        <w:t xml:space="preserve"> </w:t>
      </w:r>
      <w:r>
        <w:rPr>
          <w:rStyle w:val="1Char"/>
          <w:rFonts w:ascii="黑体" w:eastAsia="黑体" w:hAnsi="黑体" w:hint="eastAsia"/>
        </w:rPr>
        <w:t>部门概况</w:t>
      </w:r>
      <w:bookmarkEnd w:id="1"/>
      <w:bookmarkEnd w:id="2"/>
    </w:p>
    <w:p w:rsidR="002B2A1B" w:rsidRDefault="002B2A1B">
      <w:pPr>
        <w:widowControl/>
        <w:jc w:val="left"/>
        <w:rPr>
          <w:rFonts w:ascii="黑体" w:eastAsia="黑体"/>
          <w:color w:val="000000"/>
          <w:sz w:val="32"/>
          <w:szCs w:val="32"/>
        </w:rPr>
      </w:pPr>
    </w:p>
    <w:p w:rsidR="002B2A1B" w:rsidRDefault="00572AE8">
      <w:pPr>
        <w:pStyle w:val="2"/>
        <w:rPr>
          <w:rStyle w:val="2Char"/>
          <w:rFonts w:ascii="仿宋" w:eastAsia="仿宋" w:hAnsi="仿宋"/>
        </w:rPr>
      </w:pPr>
      <w:bookmarkStart w:id="3" w:name="_Toc15377197"/>
      <w:bookmarkStart w:id="4"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3"/>
      <w:bookmarkEnd w:id="4"/>
    </w:p>
    <w:p w:rsidR="002B2A1B" w:rsidRDefault="00572AE8">
      <w:pPr>
        <w:snapToGrid w:val="0"/>
        <w:spacing w:line="500" w:lineRule="exact"/>
        <w:ind w:firstLineChars="200" w:firstLine="640"/>
        <w:rPr>
          <w:rFonts w:ascii="楷体" w:eastAsia="楷体" w:hAnsi="楷体" w:cs="楷体"/>
          <w:bCs/>
          <w:color w:val="000000"/>
          <w:sz w:val="32"/>
          <w:szCs w:val="32"/>
        </w:rPr>
      </w:pPr>
      <w:bookmarkStart w:id="5" w:name="_Toc15377198"/>
      <w:bookmarkStart w:id="6" w:name="_Toc15378445"/>
      <w:r>
        <w:rPr>
          <w:rFonts w:ascii="楷体" w:eastAsia="楷体" w:hAnsi="楷体" w:cs="楷体" w:hint="eastAsia"/>
          <w:bCs/>
          <w:color w:val="000000"/>
          <w:sz w:val="32"/>
          <w:szCs w:val="32"/>
        </w:rPr>
        <w:t>（一）主要职能</w:t>
      </w:r>
      <w:bookmarkEnd w:id="5"/>
      <w:bookmarkEnd w:id="6"/>
    </w:p>
    <w:p w:rsidR="002B2A1B" w:rsidRDefault="00572AE8">
      <w:pPr>
        <w:snapToGri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）保证党的路线、方针、政策的坚决贯彻执行</w:t>
      </w:r>
      <w:r>
        <w:rPr>
          <w:rFonts w:ascii="仿宋" w:eastAsia="仿宋" w:hAnsi="仿宋" w:cs="仿宋" w:hint="eastAsia"/>
          <w:color w:val="000000"/>
          <w:sz w:val="32"/>
          <w:szCs w:val="32"/>
        </w:rPr>
        <w:t>,</w:t>
      </w:r>
      <w:r>
        <w:rPr>
          <w:rFonts w:ascii="仿宋" w:eastAsia="仿宋" w:hAnsi="仿宋" w:cs="仿宋" w:hint="eastAsia"/>
          <w:color w:val="000000"/>
          <w:sz w:val="32"/>
          <w:szCs w:val="32"/>
        </w:rPr>
        <w:t>领导和监督同级人大、政府落实上级安排的各项工作任务</w:t>
      </w:r>
      <w:r>
        <w:rPr>
          <w:rFonts w:ascii="仿宋" w:eastAsia="仿宋" w:hAnsi="仿宋" w:cs="仿宋" w:hint="eastAsia"/>
          <w:color w:val="000000"/>
          <w:sz w:val="32"/>
          <w:szCs w:val="32"/>
        </w:rPr>
        <w:t>,</w:t>
      </w:r>
      <w:r>
        <w:rPr>
          <w:rFonts w:ascii="仿宋" w:eastAsia="仿宋" w:hAnsi="仿宋" w:cs="仿宋" w:hint="eastAsia"/>
          <w:color w:val="000000"/>
          <w:sz w:val="32"/>
          <w:szCs w:val="32"/>
        </w:rPr>
        <w:t>抓好经济建设，维护社会稳定，促进社会经济发展。</w:t>
      </w:r>
      <w:r>
        <w:rPr>
          <w:rFonts w:ascii="仿宋" w:eastAsia="仿宋" w:hAnsi="仿宋" w:cs="仿宋" w:hint="eastAsia"/>
          <w:color w:val="000000"/>
          <w:sz w:val="32"/>
          <w:szCs w:val="32"/>
        </w:rPr>
        <w:t xml:space="preserve">                                        </w:t>
      </w:r>
    </w:p>
    <w:p w:rsidR="002B2A1B" w:rsidRDefault="00572AE8">
      <w:pPr>
        <w:snapToGri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）负责抓好本镇党建工作，新闻宣传工作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抓好精神文明建设，丰富群众文化生活，树立社会主义新风尚。</w:t>
      </w:r>
    </w:p>
    <w:p w:rsidR="002B2A1B" w:rsidRDefault="00572AE8">
      <w:pPr>
        <w:snapToGri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）完成市委、市政府交给的其他工作任务。</w:t>
      </w:r>
      <w:r>
        <w:rPr>
          <w:rFonts w:ascii="仿宋" w:eastAsia="仿宋" w:hAnsi="仿宋" w:cs="仿宋" w:hint="eastAsia"/>
          <w:color w:val="000000"/>
          <w:sz w:val="32"/>
          <w:szCs w:val="32"/>
        </w:rPr>
        <w:t> </w:t>
      </w:r>
    </w:p>
    <w:p w:rsidR="002B2A1B" w:rsidRDefault="00572AE8">
      <w:pPr>
        <w:snapToGrid w:val="0"/>
        <w:spacing w:line="5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制定和组织实施村镇建设规划，经济、科技和社会发展计划，制定产业结构调整方案，组织指导好各业生产，协调好本镇对外地区的经济交流与合作，抓好招商引资，不断培育市场体系，组织经济运行，促进经济发展。</w:t>
      </w:r>
    </w:p>
    <w:p w:rsidR="002B2A1B" w:rsidRDefault="00572AE8">
      <w:pPr>
        <w:snapToGrid w:val="0"/>
        <w:spacing w:line="500" w:lineRule="exact"/>
        <w:ind w:firstLineChars="150" w:firstLine="480"/>
        <w:rPr>
          <w:rFonts w:ascii="楷体" w:eastAsia="楷体" w:hAnsi="楷体" w:cs="楷体"/>
          <w:color w:val="000000"/>
          <w:sz w:val="32"/>
          <w:szCs w:val="32"/>
        </w:rPr>
      </w:pPr>
      <w:bookmarkStart w:id="7" w:name="_Toc15378446"/>
      <w:bookmarkStart w:id="8" w:name="_Toc15377199"/>
      <w:r>
        <w:rPr>
          <w:rFonts w:ascii="楷体" w:eastAsia="楷体" w:hAnsi="楷体" w:cs="楷体" w:hint="eastAsia"/>
          <w:bCs/>
          <w:color w:val="000000"/>
          <w:sz w:val="32"/>
          <w:szCs w:val="32"/>
        </w:rPr>
        <w:t>（二）</w:t>
      </w:r>
      <w:r>
        <w:rPr>
          <w:rFonts w:ascii="楷体" w:eastAsia="楷体" w:hAnsi="楷体" w:cs="楷体" w:hint="eastAsia"/>
          <w:bCs/>
          <w:color w:val="000000"/>
          <w:sz w:val="32"/>
          <w:szCs w:val="32"/>
        </w:rPr>
        <w:t>2019</w:t>
      </w:r>
      <w:r>
        <w:rPr>
          <w:rFonts w:ascii="楷体" w:eastAsia="楷体" w:hAnsi="楷体" w:cs="楷体" w:hint="eastAsia"/>
          <w:bCs/>
          <w:color w:val="000000"/>
          <w:sz w:val="32"/>
          <w:szCs w:val="32"/>
        </w:rPr>
        <w:t>年重点</w:t>
      </w:r>
      <w:r>
        <w:rPr>
          <w:rFonts w:ascii="楷体" w:eastAsia="楷体" w:hAnsi="楷体" w:cs="楷体" w:hint="eastAsia"/>
          <w:color w:val="000000"/>
          <w:sz w:val="32"/>
          <w:szCs w:val="32"/>
        </w:rPr>
        <w:t>金轮镇党委政府的主要工作责任：</w:t>
      </w:r>
    </w:p>
    <w:p w:rsidR="002B2A1B" w:rsidRDefault="00572AE8">
      <w:pPr>
        <w:spacing w:line="50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 xml:space="preserve">   </w:t>
      </w:r>
      <w:r>
        <w:rPr>
          <w:rFonts w:ascii="仿宋" w:eastAsia="仿宋" w:hAnsi="仿宋" w:cs="仿宋" w:hint="eastAsia"/>
          <w:sz w:val="32"/>
          <w:szCs w:val="32"/>
        </w:rPr>
        <w:t>主要经济指标完成情况：完成固定资产投资</w:t>
      </w:r>
      <w:r>
        <w:rPr>
          <w:rFonts w:ascii="仿宋" w:eastAsia="仿宋" w:hAnsi="仿宋" w:cs="仿宋" w:hint="eastAsia"/>
          <w:sz w:val="32"/>
          <w:szCs w:val="32"/>
        </w:rPr>
        <w:t>2.0749</w:t>
      </w:r>
      <w:r>
        <w:rPr>
          <w:rFonts w:ascii="仿宋" w:eastAsia="仿宋" w:hAnsi="仿宋" w:cs="仿宋" w:hint="eastAsia"/>
          <w:sz w:val="32"/>
          <w:szCs w:val="32"/>
        </w:rPr>
        <w:t>亿元，招商引资到位资金</w:t>
      </w:r>
      <w:r>
        <w:rPr>
          <w:rFonts w:ascii="仿宋" w:eastAsia="仿宋" w:hAnsi="仿宋" w:cs="仿宋" w:hint="eastAsia"/>
          <w:sz w:val="32"/>
          <w:szCs w:val="32"/>
        </w:rPr>
        <w:t>1.0755</w:t>
      </w:r>
      <w:r>
        <w:rPr>
          <w:rFonts w:ascii="仿宋" w:eastAsia="仿宋" w:hAnsi="仿宋" w:cs="仿宋" w:hint="eastAsia"/>
          <w:sz w:val="32"/>
          <w:szCs w:val="32"/>
        </w:rPr>
        <w:t>亿元，完成目标任务的</w:t>
      </w:r>
      <w:r>
        <w:rPr>
          <w:rFonts w:ascii="仿宋" w:eastAsia="仿宋" w:hAnsi="仿宋" w:cs="仿宋" w:hint="eastAsia"/>
          <w:sz w:val="32"/>
          <w:szCs w:val="32"/>
        </w:rPr>
        <w:t>121.94%</w:t>
      </w:r>
      <w:r>
        <w:rPr>
          <w:rFonts w:ascii="仿宋" w:eastAsia="仿宋" w:hAnsi="仿宋" w:cs="仿宋" w:hint="eastAsia"/>
          <w:sz w:val="32"/>
          <w:szCs w:val="32"/>
        </w:rPr>
        <w:t>；规模以上工业企业总产值</w:t>
      </w:r>
      <w:r>
        <w:rPr>
          <w:rFonts w:ascii="仿宋" w:eastAsia="仿宋" w:hAnsi="仿宋" w:cs="仿宋" w:hint="eastAsia"/>
          <w:sz w:val="32"/>
          <w:szCs w:val="32"/>
        </w:rPr>
        <w:t>6.3072</w:t>
      </w:r>
      <w:r>
        <w:rPr>
          <w:rFonts w:ascii="仿宋" w:eastAsia="仿宋" w:hAnsi="仿宋" w:cs="仿宋" w:hint="eastAsia"/>
          <w:sz w:val="32"/>
          <w:szCs w:val="32"/>
        </w:rPr>
        <w:t>亿元，完成目标任务的</w:t>
      </w:r>
      <w:r>
        <w:rPr>
          <w:rFonts w:ascii="仿宋" w:eastAsia="仿宋" w:hAnsi="仿宋" w:cs="仿宋" w:hint="eastAsia"/>
          <w:sz w:val="32"/>
          <w:szCs w:val="32"/>
        </w:rPr>
        <w:t>104.8%</w:t>
      </w:r>
      <w:r>
        <w:rPr>
          <w:rFonts w:ascii="仿宋" w:eastAsia="仿宋" w:hAnsi="仿宋" w:cs="仿宋" w:hint="eastAsia"/>
          <w:sz w:val="32"/>
          <w:szCs w:val="32"/>
        </w:rPr>
        <w:t>；税收入库</w:t>
      </w:r>
      <w:r>
        <w:rPr>
          <w:rFonts w:ascii="仿宋" w:eastAsia="仿宋" w:hAnsi="仿宋" w:cs="仿宋" w:hint="eastAsia"/>
          <w:sz w:val="32"/>
          <w:szCs w:val="32"/>
        </w:rPr>
        <w:t>396</w:t>
      </w:r>
      <w:r>
        <w:rPr>
          <w:rFonts w:ascii="仿宋" w:eastAsia="仿宋" w:hAnsi="仿宋" w:cs="仿宋" w:hint="eastAsia"/>
          <w:sz w:val="32"/>
          <w:szCs w:val="32"/>
        </w:rPr>
        <w:t>万元，较去年增长</w:t>
      </w:r>
      <w:r>
        <w:rPr>
          <w:rFonts w:ascii="仿宋" w:eastAsia="仿宋" w:hAnsi="仿宋" w:cs="仿宋" w:hint="eastAsia"/>
          <w:sz w:val="32"/>
          <w:szCs w:val="32"/>
        </w:rPr>
        <w:t>9%</w:t>
      </w:r>
      <w:r>
        <w:rPr>
          <w:rFonts w:ascii="仿宋" w:eastAsia="仿宋" w:hAnsi="仿宋" w:cs="仿宋" w:hint="eastAsia"/>
          <w:sz w:val="32"/>
          <w:szCs w:val="32"/>
        </w:rPr>
        <w:t>；农村居民人均可支配收入</w:t>
      </w:r>
      <w:r>
        <w:rPr>
          <w:rFonts w:ascii="仿宋" w:eastAsia="仿宋" w:hAnsi="仿宋" w:cs="仿宋" w:hint="eastAsia"/>
          <w:sz w:val="32"/>
          <w:szCs w:val="32"/>
        </w:rPr>
        <w:t>20233</w:t>
      </w:r>
      <w:r>
        <w:rPr>
          <w:rFonts w:ascii="仿宋" w:eastAsia="仿宋" w:hAnsi="仿宋" w:cs="仿宋" w:hint="eastAsia"/>
          <w:sz w:val="32"/>
          <w:szCs w:val="32"/>
        </w:rPr>
        <w:t>元，比去年增收</w:t>
      </w:r>
      <w:r>
        <w:rPr>
          <w:rFonts w:ascii="仿宋" w:eastAsia="仿宋" w:hAnsi="仿宋" w:cs="仿宋" w:hint="eastAsia"/>
          <w:sz w:val="32"/>
          <w:szCs w:val="32"/>
        </w:rPr>
        <w:t>9.5%</w:t>
      </w:r>
      <w:r>
        <w:rPr>
          <w:rFonts w:ascii="仿宋" w:eastAsia="仿宋" w:hAnsi="仿宋" w:cs="仿宋" w:hint="eastAsia"/>
          <w:sz w:val="32"/>
          <w:szCs w:val="32"/>
        </w:rPr>
        <w:t>。</w:t>
      </w:r>
    </w:p>
    <w:p w:rsidR="002B2A1B" w:rsidRDefault="00572AE8">
      <w:pPr>
        <w:snapToGrid w:val="0"/>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2B2A1B" w:rsidRDefault="002B2A1B">
      <w:pPr>
        <w:snapToGrid w:val="0"/>
        <w:spacing w:line="500" w:lineRule="exact"/>
        <w:ind w:firstLineChars="200" w:firstLine="640"/>
        <w:rPr>
          <w:rFonts w:ascii="楷体_GB2312" w:eastAsia="楷体_GB2312" w:hAnsi="楷体_GB2312" w:cs="楷体_GB2312"/>
          <w:color w:val="000000"/>
          <w:sz w:val="32"/>
          <w:szCs w:val="32"/>
        </w:rPr>
      </w:pPr>
    </w:p>
    <w:bookmarkEnd w:id="7"/>
    <w:bookmarkEnd w:id="8"/>
    <w:p w:rsidR="002B2A1B" w:rsidRDefault="002B2A1B">
      <w:pPr>
        <w:snapToGrid w:val="0"/>
        <w:spacing w:line="500" w:lineRule="exact"/>
        <w:ind w:firstLineChars="200" w:firstLine="640"/>
        <w:rPr>
          <w:rFonts w:ascii="楷体_GB2312" w:eastAsia="楷体_GB2312" w:hAnsi="楷体_GB2312" w:cs="楷体_GB2312"/>
          <w:color w:val="000000"/>
          <w:sz w:val="32"/>
          <w:szCs w:val="32"/>
        </w:rPr>
      </w:pPr>
    </w:p>
    <w:p w:rsidR="002B2A1B" w:rsidRDefault="00572AE8">
      <w:pPr>
        <w:pStyle w:val="2"/>
        <w:rPr>
          <w:rStyle w:val="2Char"/>
        </w:rPr>
      </w:pPr>
      <w:bookmarkStart w:id="9" w:name="_Toc15377200"/>
      <w:bookmarkStart w:id="10" w:name="_Toc15396601"/>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9"/>
      <w:bookmarkEnd w:id="10"/>
    </w:p>
    <w:p w:rsidR="002B2A1B" w:rsidRDefault="00572AE8">
      <w:pPr>
        <w:snapToGri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金轮镇政府是一个独立核算机构，纳入</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年度部门决算汇编的独立核算单位</w:t>
      </w:r>
      <w:r>
        <w:rPr>
          <w:rFonts w:ascii="仿宋" w:eastAsia="仿宋" w:hAnsi="仿宋" w:cs="仿宋" w:hint="eastAsia"/>
          <w:color w:val="000000"/>
          <w:sz w:val="32"/>
          <w:szCs w:val="32"/>
        </w:rPr>
        <w:t>1</w:t>
      </w:r>
      <w:r>
        <w:rPr>
          <w:rFonts w:ascii="仿宋" w:eastAsia="仿宋" w:hAnsi="仿宋" w:cs="仿宋" w:hint="eastAsia"/>
          <w:color w:val="000000"/>
          <w:sz w:val="32"/>
          <w:szCs w:val="32"/>
        </w:rPr>
        <w:t>个，独立报送单户报表的单位</w:t>
      </w:r>
      <w:r>
        <w:rPr>
          <w:rFonts w:ascii="仿宋" w:eastAsia="仿宋" w:hAnsi="仿宋" w:cs="仿宋" w:hint="eastAsia"/>
          <w:color w:val="000000"/>
          <w:sz w:val="32"/>
          <w:szCs w:val="32"/>
        </w:rPr>
        <w:t>1</w:t>
      </w:r>
      <w:r>
        <w:rPr>
          <w:rFonts w:ascii="仿宋" w:eastAsia="仿宋" w:hAnsi="仿宋" w:cs="仿宋" w:hint="eastAsia"/>
          <w:color w:val="000000"/>
          <w:sz w:val="32"/>
          <w:szCs w:val="32"/>
        </w:rPr>
        <w:t>个，下设</w:t>
      </w:r>
      <w:r>
        <w:rPr>
          <w:rFonts w:ascii="仿宋" w:eastAsia="仿宋" w:hAnsi="仿宋" w:cs="仿宋" w:hint="eastAsia"/>
          <w:color w:val="000000"/>
          <w:sz w:val="32"/>
          <w:szCs w:val="32"/>
        </w:rPr>
        <w:t>2</w:t>
      </w:r>
      <w:r>
        <w:rPr>
          <w:rFonts w:ascii="仿宋" w:eastAsia="仿宋" w:hAnsi="仿宋" w:cs="仿宋" w:hint="eastAsia"/>
          <w:color w:val="000000"/>
          <w:sz w:val="32"/>
          <w:szCs w:val="32"/>
        </w:rPr>
        <w:t>办</w:t>
      </w:r>
      <w:r>
        <w:rPr>
          <w:rFonts w:ascii="仿宋" w:eastAsia="仿宋" w:hAnsi="仿宋" w:cs="仿宋" w:hint="eastAsia"/>
          <w:color w:val="000000"/>
          <w:sz w:val="32"/>
          <w:szCs w:val="32"/>
        </w:rPr>
        <w:t>1</w:t>
      </w:r>
      <w:r>
        <w:rPr>
          <w:rFonts w:ascii="仿宋" w:eastAsia="仿宋" w:hAnsi="仿宋" w:cs="仿宋" w:hint="eastAsia"/>
          <w:color w:val="000000"/>
          <w:sz w:val="32"/>
          <w:szCs w:val="32"/>
        </w:rPr>
        <w:t>所及两服务中心。占单位总数的</w:t>
      </w:r>
      <w:r>
        <w:rPr>
          <w:rFonts w:ascii="仿宋" w:eastAsia="仿宋" w:hAnsi="仿宋" w:cs="仿宋" w:hint="eastAsia"/>
          <w:color w:val="000000"/>
          <w:sz w:val="32"/>
          <w:szCs w:val="32"/>
        </w:rPr>
        <w:t>100%,</w:t>
      </w:r>
      <w:r>
        <w:rPr>
          <w:rFonts w:ascii="仿宋" w:eastAsia="仿宋" w:hAnsi="仿宋" w:cs="仿宋" w:hint="eastAsia"/>
          <w:color w:val="000000"/>
          <w:sz w:val="32"/>
          <w:szCs w:val="32"/>
        </w:rPr>
        <w:t>与比上年度同期相比无增减变化。</w:t>
      </w:r>
    </w:p>
    <w:p w:rsidR="002B2A1B" w:rsidRDefault="002B2A1B">
      <w:pPr>
        <w:pStyle w:val="1"/>
        <w:ind w:right="440"/>
        <w:jc w:val="right"/>
        <w:rPr>
          <w:rFonts w:ascii="黑体" w:eastAsia="黑体" w:hAnsi="黑体"/>
          <w:b w:val="0"/>
          <w:color w:val="000000"/>
        </w:rPr>
      </w:pPr>
      <w:bookmarkStart w:id="11" w:name="_Toc15396602"/>
      <w:bookmarkStart w:id="12" w:name="_Toc15377204"/>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pStyle w:val="1"/>
        <w:ind w:right="440"/>
        <w:jc w:val="right"/>
        <w:rPr>
          <w:rFonts w:ascii="黑体" w:eastAsia="黑体" w:hAnsi="黑体"/>
          <w:b w:val="0"/>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2B2A1B">
      <w:pPr>
        <w:rPr>
          <w:rFonts w:ascii="黑体" w:eastAsia="黑体" w:hAnsi="黑体"/>
          <w:color w:val="000000"/>
        </w:rPr>
      </w:pPr>
    </w:p>
    <w:p w:rsidR="002B2A1B" w:rsidRDefault="00572AE8">
      <w:pPr>
        <w:pStyle w:val="1"/>
        <w:ind w:right="440"/>
        <w:jc w:val="right"/>
        <w:rPr>
          <w:rStyle w:val="1Char"/>
          <w:rFonts w:ascii="黑体" w:eastAsia="黑体" w:hAnsi="黑体"/>
        </w:rPr>
      </w:pPr>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11"/>
      <w:bookmarkEnd w:id="12"/>
    </w:p>
    <w:p w:rsidR="002B2A1B" w:rsidRDefault="002B2A1B"/>
    <w:p w:rsidR="002B2A1B" w:rsidRDefault="00572AE8">
      <w:pPr>
        <w:pStyle w:val="a9"/>
        <w:numPr>
          <w:ilvl w:val="0"/>
          <w:numId w:val="1"/>
        </w:numPr>
        <w:spacing w:line="600" w:lineRule="exact"/>
        <w:ind w:firstLineChars="0"/>
        <w:outlineLvl w:val="1"/>
        <w:rPr>
          <w:rStyle w:val="2Char"/>
          <w:rFonts w:ascii="黑体" w:eastAsia="黑体" w:hAnsi="黑体"/>
          <w:b w:val="0"/>
        </w:rPr>
      </w:pPr>
      <w:bookmarkStart w:id="13" w:name="_Toc15377205"/>
      <w:bookmarkStart w:id="14"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3"/>
      <w:bookmarkEnd w:id="14"/>
    </w:p>
    <w:p w:rsidR="002B2A1B" w:rsidRDefault="00572AE8" w:rsidP="006F3D80">
      <w:pPr>
        <w:pStyle w:val="a9"/>
        <w:snapToGrid w:val="0"/>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2019</w:t>
      </w:r>
      <w:r>
        <w:rPr>
          <w:rFonts w:ascii="仿宋" w:eastAsia="仿宋" w:hAnsi="仿宋" w:cs="仿宋" w:hint="eastAsia"/>
          <w:color w:val="000000"/>
          <w:sz w:val="32"/>
          <w:szCs w:val="32"/>
        </w:rPr>
        <w:t>年预算收入</w:t>
      </w:r>
      <w:r>
        <w:rPr>
          <w:rFonts w:ascii="仿宋" w:eastAsia="仿宋" w:hAnsi="仿宋" w:cs="仿宋" w:hint="eastAsia"/>
          <w:color w:val="000000"/>
          <w:sz w:val="32"/>
          <w:szCs w:val="32"/>
        </w:rPr>
        <w:t>1952.9</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年预算收入</w:t>
      </w:r>
      <w:r>
        <w:rPr>
          <w:rFonts w:ascii="仿宋" w:eastAsia="仿宋" w:hAnsi="仿宋" w:cs="仿宋" w:hint="eastAsia"/>
          <w:color w:val="000000"/>
          <w:sz w:val="32"/>
          <w:szCs w:val="32"/>
        </w:rPr>
        <w:t>1976.63</w:t>
      </w:r>
      <w:r>
        <w:rPr>
          <w:rFonts w:ascii="仿宋" w:eastAsia="仿宋" w:hAnsi="仿宋" w:cs="仿宋" w:hint="eastAsia"/>
          <w:color w:val="000000"/>
          <w:sz w:val="32"/>
          <w:szCs w:val="32"/>
        </w:rPr>
        <w:t>万元，减少</w:t>
      </w:r>
      <w:r>
        <w:rPr>
          <w:rFonts w:ascii="仿宋" w:eastAsia="仿宋" w:hAnsi="仿宋" w:cs="仿宋" w:hint="eastAsia"/>
          <w:color w:val="000000"/>
          <w:sz w:val="32"/>
          <w:szCs w:val="32"/>
        </w:rPr>
        <w:t>23.73</w:t>
      </w:r>
      <w:r>
        <w:rPr>
          <w:rFonts w:ascii="仿宋" w:eastAsia="仿宋" w:hAnsi="仿宋" w:cs="仿宋" w:hint="eastAsia"/>
          <w:color w:val="000000"/>
          <w:sz w:val="32"/>
          <w:szCs w:val="32"/>
        </w:rPr>
        <w:t>万元，减少</w:t>
      </w:r>
      <w:r>
        <w:rPr>
          <w:rFonts w:ascii="仿宋" w:eastAsia="仿宋" w:hAnsi="仿宋" w:cs="仿宋" w:hint="eastAsia"/>
          <w:color w:val="000000"/>
          <w:sz w:val="32"/>
          <w:szCs w:val="32"/>
        </w:rPr>
        <w:t>1.2%%</w:t>
      </w:r>
      <w:r>
        <w:rPr>
          <w:rFonts w:ascii="仿宋" w:eastAsia="仿宋" w:hAnsi="仿宋" w:cs="仿宋" w:hint="eastAsia"/>
          <w:color w:val="000000"/>
          <w:sz w:val="32"/>
          <w:szCs w:val="32"/>
        </w:rPr>
        <w:t>，主要原因是减少专项追加。</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年预算支出</w:t>
      </w:r>
      <w:r>
        <w:rPr>
          <w:rFonts w:ascii="仿宋" w:eastAsia="仿宋" w:hAnsi="仿宋" w:cs="仿宋" w:hint="eastAsia"/>
          <w:color w:val="000000"/>
          <w:sz w:val="32"/>
          <w:szCs w:val="32"/>
        </w:rPr>
        <w:t>2321.65</w:t>
      </w:r>
      <w:r>
        <w:rPr>
          <w:rFonts w:ascii="仿宋" w:eastAsia="仿宋" w:hAnsi="仿宋" w:cs="仿宋" w:hint="eastAsia"/>
          <w:color w:val="000000"/>
          <w:sz w:val="32"/>
          <w:szCs w:val="32"/>
        </w:rPr>
        <w:t>万元（含上年两镇的结转结余），较上年预算支出增加</w:t>
      </w:r>
      <w:r>
        <w:rPr>
          <w:rFonts w:ascii="仿宋" w:eastAsia="仿宋" w:hAnsi="仿宋" w:cs="仿宋" w:hint="eastAsia"/>
          <w:color w:val="000000"/>
          <w:sz w:val="32"/>
          <w:szCs w:val="32"/>
        </w:rPr>
        <w:t>345.02</w:t>
      </w:r>
      <w:r>
        <w:rPr>
          <w:rFonts w:ascii="仿宋" w:eastAsia="仿宋" w:hAnsi="仿宋" w:cs="仿宋" w:hint="eastAsia"/>
          <w:color w:val="000000"/>
          <w:sz w:val="32"/>
          <w:szCs w:val="32"/>
        </w:rPr>
        <w:t>万元，增加</w:t>
      </w:r>
      <w:r>
        <w:rPr>
          <w:rFonts w:ascii="仿宋" w:eastAsia="仿宋" w:hAnsi="仿宋" w:cs="仿宋" w:hint="eastAsia"/>
          <w:color w:val="000000"/>
          <w:sz w:val="32"/>
          <w:szCs w:val="32"/>
        </w:rPr>
        <w:t>17.45%</w:t>
      </w:r>
      <w:r>
        <w:rPr>
          <w:rFonts w:ascii="仿宋" w:eastAsia="仿宋" w:hAnsi="仿宋" w:cs="仿宋" w:hint="eastAsia"/>
          <w:color w:val="000000"/>
          <w:sz w:val="32"/>
          <w:szCs w:val="32"/>
        </w:rPr>
        <w:t>，主要原因是</w:t>
      </w:r>
      <w:r>
        <w:rPr>
          <w:rFonts w:ascii="仿宋" w:eastAsia="仿宋" w:hAnsi="仿宋" w:cs="仿宋" w:hint="eastAsia"/>
          <w:color w:val="000000"/>
          <w:sz w:val="32"/>
          <w:szCs w:val="32"/>
        </w:rPr>
        <w:t>2018</w:t>
      </w:r>
      <w:r>
        <w:rPr>
          <w:rFonts w:ascii="仿宋" w:eastAsia="仿宋" w:hAnsi="仿宋" w:cs="仿宋" w:hint="eastAsia"/>
          <w:color w:val="000000"/>
          <w:sz w:val="32"/>
          <w:szCs w:val="32"/>
        </w:rPr>
        <w:t>结转的项目支出。</w:t>
      </w:r>
    </w:p>
    <w:p w:rsidR="002B2A1B" w:rsidRDefault="002B2A1B">
      <w:pPr>
        <w:snapToGrid w:val="0"/>
        <w:spacing w:line="500" w:lineRule="exact"/>
        <w:ind w:left="640"/>
        <w:rPr>
          <w:rFonts w:ascii="仿宋" w:eastAsia="仿宋" w:hAnsi="仿宋"/>
          <w:color w:val="000000"/>
          <w:sz w:val="32"/>
          <w:szCs w:val="32"/>
        </w:rPr>
      </w:pPr>
      <w:r w:rsidRPr="002B2A1B">
        <w:rPr>
          <w:rFonts w:ascii="仿宋" w:eastAsia="仿宋"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5pt;margin-top:61.3pt;width:366.75pt;height:222.75pt;z-index:251658240">
            <v:imagedata r:id="rId9" o:title=""/>
            <w10:wrap type="topAndBottom"/>
          </v:shape>
          <o:OLEObject Type="Embed" ProgID="Excel.Chart.8" ShapeID="_x0000_s1026" DrawAspect="Content" ObjectID="_1783499598" r:id="rId10"/>
        </w:pict>
      </w:r>
      <w:r w:rsidR="00572AE8">
        <w:rPr>
          <w:rFonts w:ascii="仿宋" w:eastAsia="仿宋" w:hAnsi="仿宋" w:cs="仿宋" w:hint="eastAsia"/>
          <w:sz w:val="32"/>
          <w:szCs w:val="32"/>
        </w:rPr>
        <w:t>包括单位收入、支出年初预算安排情况，与上年对比情况及增减变动原因</w:t>
      </w:r>
      <w:r w:rsidR="00572AE8">
        <w:rPr>
          <w:rFonts w:ascii="仿宋" w:eastAsia="仿宋" w:hAnsi="仿宋" w:cs="仿宋" w:hint="eastAsia"/>
          <w:sz w:val="32"/>
          <w:szCs w:val="32"/>
        </w:rPr>
        <w:t>(</w:t>
      </w:r>
      <w:r w:rsidR="00572AE8">
        <w:rPr>
          <w:rFonts w:ascii="仿宋" w:eastAsia="仿宋" w:hAnsi="仿宋" w:cs="仿宋" w:hint="eastAsia"/>
          <w:sz w:val="32"/>
          <w:szCs w:val="32"/>
        </w:rPr>
        <w:t>可用柱形图或折线图</w:t>
      </w:r>
      <w:r w:rsidR="00572AE8">
        <w:rPr>
          <w:rFonts w:ascii="仿宋" w:eastAsia="仿宋" w:hAnsi="仿宋" w:cs="仿宋" w:hint="eastAsia"/>
          <w:sz w:val="32"/>
          <w:szCs w:val="32"/>
        </w:rPr>
        <w:t>)</w:t>
      </w:r>
      <w:r w:rsidR="00572AE8">
        <w:rPr>
          <w:rFonts w:ascii="仿宋" w:eastAsia="仿宋" w:hAnsi="仿宋" w:cs="仿宋" w:hint="eastAsia"/>
          <w:sz w:val="32"/>
          <w:szCs w:val="32"/>
        </w:rPr>
        <w:t>。</w:t>
      </w:r>
    </w:p>
    <w:p w:rsidR="002B2A1B" w:rsidRDefault="002B2A1B">
      <w:pPr>
        <w:spacing w:line="600" w:lineRule="exact"/>
        <w:ind w:firstLineChars="200" w:firstLine="640"/>
        <w:jc w:val="left"/>
        <w:rPr>
          <w:rFonts w:ascii="仿宋_GB2312" w:eastAsia="仿宋_GB2312"/>
          <w:color w:val="000000"/>
          <w:sz w:val="32"/>
          <w:szCs w:val="32"/>
        </w:rPr>
      </w:pPr>
    </w:p>
    <w:p w:rsidR="002B2A1B" w:rsidRDefault="00572AE8">
      <w:pPr>
        <w:pStyle w:val="a9"/>
        <w:numPr>
          <w:ilvl w:val="0"/>
          <w:numId w:val="1"/>
        </w:numPr>
        <w:spacing w:line="600" w:lineRule="exact"/>
        <w:ind w:firstLineChars="0"/>
        <w:outlineLvl w:val="1"/>
        <w:rPr>
          <w:rStyle w:val="2Char"/>
          <w:rFonts w:ascii="黑体" w:eastAsia="黑体" w:hAnsi="黑体"/>
          <w:b w:val="0"/>
        </w:rPr>
      </w:pPr>
      <w:bookmarkStart w:id="15" w:name="_Toc15396604"/>
      <w:bookmarkStart w:id="16"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15"/>
      <w:bookmarkEnd w:id="16"/>
    </w:p>
    <w:p w:rsidR="002B2A1B" w:rsidRDefault="00572AE8">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2489.22</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2489.22</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w:t>
      </w:r>
      <w:r>
        <w:rPr>
          <w:rFonts w:ascii="仿宋" w:eastAsia="仿宋" w:hAnsi="仿宋" w:hint="eastAsia"/>
          <w:color w:val="000000"/>
          <w:sz w:val="32"/>
          <w:szCs w:val="32"/>
        </w:rPr>
        <w:lastRenderedPageBreak/>
        <w:t>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B2A1B" w:rsidRDefault="00572AE8">
      <w:pPr>
        <w:spacing w:line="600" w:lineRule="exact"/>
        <w:ind w:firstLineChars="200" w:firstLine="420"/>
        <w:outlineLvl w:val="1"/>
        <w:rPr>
          <w:rFonts w:ascii="仿宋" w:eastAsia="仿宋" w:hAnsi="仿宋"/>
          <w:color w:val="000000"/>
          <w:sz w:val="32"/>
          <w:szCs w:val="32"/>
        </w:rPr>
      </w:pPr>
      <w:r>
        <w:rPr>
          <w:noProof/>
          <w:szCs w:val="32"/>
        </w:rPr>
        <w:drawing>
          <wp:anchor distT="0" distB="0" distL="114300" distR="114300" simplePos="0" relativeHeight="251659264" behindDoc="0" locked="0" layoutInCell="1" allowOverlap="1">
            <wp:simplePos x="0" y="0"/>
            <wp:positionH relativeFrom="column">
              <wp:posOffset>153035</wp:posOffset>
            </wp:positionH>
            <wp:positionV relativeFrom="paragraph">
              <wp:posOffset>566420</wp:posOffset>
            </wp:positionV>
            <wp:extent cx="5048885" cy="36734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srcRect/>
                    <a:stretch>
                      <a:fillRect/>
                    </a:stretch>
                  </pic:blipFill>
                  <pic:spPr>
                    <a:xfrm>
                      <a:off x="0" y="0"/>
                      <a:ext cx="5048885" cy="3673475"/>
                    </a:xfrm>
                    <a:prstGeom prst="rect">
                      <a:avLst/>
                    </a:prstGeom>
                    <a:noFill/>
                    <a:ln w="9525">
                      <a:noFill/>
                      <a:miter lim="800000"/>
                      <a:headEnd/>
                      <a:tailEnd/>
                    </a:ln>
                  </pic:spPr>
                </pic:pic>
              </a:graphicData>
            </a:graphic>
          </wp:anchor>
        </w:drawing>
      </w:r>
    </w:p>
    <w:p w:rsidR="002B2A1B" w:rsidRDefault="002B2A1B">
      <w:pPr>
        <w:spacing w:line="600" w:lineRule="exact"/>
        <w:rPr>
          <w:rFonts w:ascii="仿宋" w:eastAsia="仿宋" w:hAnsi="仿宋"/>
          <w:color w:val="000000" w:themeColor="text1"/>
          <w:sz w:val="32"/>
          <w:szCs w:val="32"/>
        </w:rPr>
      </w:pPr>
    </w:p>
    <w:p w:rsidR="002B2A1B" w:rsidRDefault="00572AE8">
      <w:pPr>
        <w:spacing w:line="600" w:lineRule="exact"/>
        <w:ind w:firstLineChars="200" w:firstLine="640"/>
        <w:rPr>
          <w:rFonts w:ascii="仿宋_GB2312" w:eastAsia="仿宋_GB2312"/>
          <w:color w:val="FF0000"/>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2B2A1B" w:rsidRDefault="00572AE8">
      <w:pPr>
        <w:pStyle w:val="a9"/>
        <w:numPr>
          <w:ilvl w:val="0"/>
          <w:numId w:val="1"/>
        </w:numPr>
        <w:spacing w:line="600" w:lineRule="exact"/>
        <w:ind w:firstLineChars="0"/>
        <w:outlineLvl w:val="1"/>
        <w:rPr>
          <w:rStyle w:val="2Char"/>
          <w:rFonts w:ascii="黑体" w:eastAsia="黑体" w:hAnsi="黑体"/>
          <w:b w:val="0"/>
        </w:rPr>
      </w:pPr>
      <w:bookmarkStart w:id="17" w:name="_Toc15377207"/>
      <w:bookmarkStart w:id="18"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17"/>
      <w:bookmarkEnd w:id="18"/>
    </w:p>
    <w:p w:rsidR="002B2A1B" w:rsidRDefault="00572AE8">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楷体_GB2312" w:eastAsia="楷体_GB2312" w:hAnsi="楷体_GB2312" w:cs="楷体_GB2312" w:hint="eastAsia"/>
          <w:sz w:val="32"/>
          <w:szCs w:val="32"/>
        </w:rPr>
        <w:t>2499.67</w:t>
      </w:r>
      <w:r>
        <w:rPr>
          <w:rFonts w:ascii="仿宋" w:eastAsia="仿宋" w:hAnsi="仿宋" w:hint="eastAsia"/>
          <w:color w:val="000000"/>
          <w:sz w:val="32"/>
          <w:szCs w:val="32"/>
        </w:rPr>
        <w:t>万元，其中：基本支出</w:t>
      </w:r>
      <w:r>
        <w:rPr>
          <w:rFonts w:ascii="仿宋" w:eastAsia="仿宋" w:hAnsi="仿宋" w:hint="eastAsia"/>
          <w:color w:val="000000"/>
          <w:sz w:val="32"/>
          <w:szCs w:val="32"/>
        </w:rPr>
        <w:t>1452.64</w:t>
      </w:r>
      <w:r>
        <w:rPr>
          <w:rFonts w:ascii="仿宋" w:eastAsia="仿宋" w:hAnsi="仿宋" w:hint="eastAsia"/>
          <w:color w:val="000000"/>
          <w:sz w:val="32"/>
          <w:szCs w:val="32"/>
        </w:rPr>
        <w:t>万元，占</w:t>
      </w:r>
      <w:r>
        <w:rPr>
          <w:rFonts w:ascii="仿宋" w:eastAsia="仿宋" w:hAnsi="仿宋" w:hint="eastAsia"/>
          <w:color w:val="000000"/>
          <w:sz w:val="32"/>
          <w:szCs w:val="32"/>
        </w:rPr>
        <w:t>58.11</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1047.03</w:t>
      </w:r>
      <w:r>
        <w:rPr>
          <w:rFonts w:ascii="仿宋" w:eastAsia="仿宋" w:hAnsi="仿宋" w:hint="eastAsia"/>
          <w:color w:val="000000"/>
          <w:sz w:val="32"/>
          <w:szCs w:val="32"/>
        </w:rPr>
        <w:t>万元，占</w:t>
      </w:r>
      <w:r>
        <w:rPr>
          <w:rFonts w:ascii="仿宋" w:eastAsia="仿宋" w:hAnsi="仿宋" w:hint="eastAsia"/>
          <w:color w:val="000000"/>
          <w:sz w:val="32"/>
          <w:szCs w:val="32"/>
        </w:rPr>
        <w:t>41.89</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B2A1B" w:rsidRDefault="00572AE8">
      <w:pPr>
        <w:spacing w:line="600" w:lineRule="exact"/>
        <w:ind w:firstLineChars="200" w:firstLine="420"/>
        <w:rPr>
          <w:rFonts w:ascii="仿宋" w:eastAsia="仿宋" w:hAnsi="仿宋"/>
          <w:color w:val="000000" w:themeColor="text1"/>
          <w:sz w:val="32"/>
          <w:szCs w:val="32"/>
        </w:rPr>
      </w:pPr>
      <w:r>
        <w:rPr>
          <w:noProof/>
          <w:szCs w:val="32"/>
        </w:rPr>
        <w:lastRenderedPageBreak/>
        <w:drawing>
          <wp:anchor distT="0" distB="0" distL="114300" distR="114300" simplePos="0" relativeHeight="251661312" behindDoc="0" locked="0" layoutInCell="1" allowOverlap="1">
            <wp:simplePos x="0" y="0"/>
            <wp:positionH relativeFrom="column">
              <wp:posOffset>1905</wp:posOffset>
            </wp:positionH>
            <wp:positionV relativeFrom="paragraph">
              <wp:posOffset>0</wp:posOffset>
            </wp:positionV>
            <wp:extent cx="5048885" cy="36734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srcRect/>
                    <a:stretch>
                      <a:fillRect/>
                    </a:stretch>
                  </pic:blipFill>
                  <pic:spPr>
                    <a:xfrm>
                      <a:off x="0" y="0"/>
                      <a:ext cx="5049078" cy="3673503"/>
                    </a:xfrm>
                    <a:prstGeom prst="rect">
                      <a:avLst/>
                    </a:prstGeom>
                    <a:noFill/>
                    <a:ln w="9525">
                      <a:noFill/>
                      <a:miter lim="800000"/>
                      <a:headEnd/>
                      <a:tailEnd/>
                    </a:ln>
                  </pic:spPr>
                </pic:pic>
              </a:graphicData>
            </a:graphic>
          </wp:anchor>
        </w:drawing>
      </w:r>
    </w:p>
    <w:p w:rsidR="002B2A1B" w:rsidRDefault="00572AE8">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2B2A1B" w:rsidRDefault="002B2A1B">
      <w:pPr>
        <w:spacing w:line="600" w:lineRule="exact"/>
        <w:ind w:firstLineChars="200" w:firstLine="640"/>
        <w:rPr>
          <w:rFonts w:ascii="仿宋_GB2312" w:eastAsia="仿宋_GB2312"/>
          <w:color w:val="FF0000"/>
          <w:sz w:val="32"/>
          <w:szCs w:val="32"/>
        </w:rPr>
      </w:pPr>
    </w:p>
    <w:p w:rsidR="002B2A1B" w:rsidRDefault="00572AE8">
      <w:pPr>
        <w:spacing w:line="600" w:lineRule="exact"/>
        <w:ind w:firstLineChars="200" w:firstLine="640"/>
        <w:outlineLvl w:val="1"/>
        <w:rPr>
          <w:rStyle w:val="2Char"/>
          <w:rFonts w:ascii="黑体" w:eastAsia="黑体" w:hAnsi="黑体"/>
          <w:b w:val="0"/>
        </w:rPr>
      </w:pPr>
      <w:bookmarkStart w:id="19" w:name="_Toc15396606"/>
      <w:bookmarkStart w:id="20"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9"/>
      <w:bookmarkEnd w:id="20"/>
    </w:p>
    <w:p w:rsidR="002B2A1B" w:rsidRDefault="00572AE8">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楷体_GB2312" w:eastAsia="楷体_GB2312" w:hAnsi="楷体_GB2312" w:cs="楷体_GB2312" w:hint="eastAsia"/>
          <w:color w:val="000000"/>
          <w:sz w:val="32"/>
          <w:szCs w:val="32"/>
        </w:rPr>
        <w:t>4988.89</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年相比，财政拨款收入减少</w:t>
      </w:r>
      <w:r>
        <w:rPr>
          <w:rFonts w:ascii="仿宋" w:eastAsia="仿宋" w:hAnsi="仿宋" w:hint="eastAsia"/>
          <w:color w:val="000000"/>
          <w:sz w:val="32"/>
          <w:szCs w:val="32"/>
        </w:rPr>
        <w:t>252.25</w:t>
      </w:r>
      <w:r>
        <w:rPr>
          <w:rFonts w:ascii="仿宋" w:eastAsia="仿宋" w:hAnsi="仿宋" w:hint="eastAsia"/>
          <w:color w:val="000000"/>
          <w:sz w:val="32"/>
          <w:szCs w:val="32"/>
        </w:rPr>
        <w:t>万元，主要是减少项目（自然灾害灾后重建补助）</w:t>
      </w:r>
      <w:r>
        <w:rPr>
          <w:rFonts w:ascii="仿宋" w:eastAsia="仿宋" w:hAnsi="仿宋" w:hint="eastAsia"/>
          <w:color w:val="000000"/>
          <w:sz w:val="32"/>
          <w:szCs w:val="32"/>
        </w:rPr>
        <w:t>300</w:t>
      </w:r>
      <w:r>
        <w:rPr>
          <w:rFonts w:ascii="仿宋" w:eastAsia="仿宋" w:hAnsi="仿宋" w:hint="eastAsia"/>
          <w:color w:val="000000"/>
          <w:sz w:val="32"/>
          <w:szCs w:val="32"/>
        </w:rPr>
        <w:t>万元，减少</w:t>
      </w:r>
      <w:r>
        <w:rPr>
          <w:rFonts w:ascii="仿宋" w:eastAsia="仿宋" w:hAnsi="仿宋" w:hint="eastAsia"/>
          <w:color w:val="000000"/>
          <w:sz w:val="32"/>
          <w:szCs w:val="32"/>
        </w:rPr>
        <w:t>9.2%</w:t>
      </w:r>
      <w:r>
        <w:rPr>
          <w:rFonts w:ascii="仿宋" w:eastAsia="仿宋" w:hAnsi="仿宋" w:hint="eastAsia"/>
          <w:color w:val="000000"/>
          <w:sz w:val="32"/>
          <w:szCs w:val="32"/>
        </w:rPr>
        <w:t>；财政拨款支出增加</w:t>
      </w:r>
      <w:r>
        <w:rPr>
          <w:rFonts w:ascii="仿宋" w:eastAsia="仿宋" w:hAnsi="仿宋" w:hint="eastAsia"/>
          <w:color w:val="000000"/>
          <w:sz w:val="32"/>
          <w:szCs w:val="32"/>
        </w:rPr>
        <w:t>126.97</w:t>
      </w:r>
      <w:r>
        <w:rPr>
          <w:rFonts w:ascii="仿宋" w:eastAsia="仿宋" w:hAnsi="仿宋" w:hint="eastAsia"/>
          <w:color w:val="000000"/>
          <w:sz w:val="32"/>
          <w:szCs w:val="32"/>
        </w:rPr>
        <w:t>万元，增长</w:t>
      </w:r>
      <w:r>
        <w:rPr>
          <w:rFonts w:ascii="仿宋" w:eastAsia="仿宋" w:hAnsi="仿宋" w:hint="eastAsia"/>
          <w:color w:val="000000"/>
          <w:sz w:val="32"/>
          <w:szCs w:val="32"/>
        </w:rPr>
        <w:t>5.35</w:t>
      </w:r>
      <w:r>
        <w:rPr>
          <w:rFonts w:ascii="仿宋" w:eastAsia="仿宋" w:hAnsi="仿宋"/>
          <w:color w:val="000000"/>
          <w:sz w:val="32"/>
          <w:szCs w:val="32"/>
        </w:rPr>
        <w:t>%</w:t>
      </w:r>
      <w:r>
        <w:rPr>
          <w:rFonts w:ascii="仿宋" w:eastAsia="仿宋" w:hAnsi="仿宋" w:hint="eastAsia"/>
          <w:color w:val="000000"/>
          <w:sz w:val="32"/>
          <w:szCs w:val="32"/>
        </w:rPr>
        <w:t>，增加的主要原因是上年结转支出</w:t>
      </w:r>
      <w:r>
        <w:rPr>
          <w:rFonts w:ascii="仿宋" w:eastAsia="仿宋" w:hAnsi="仿宋" w:hint="eastAsia"/>
          <w:color w:val="000000"/>
          <w:sz w:val="32"/>
          <w:szCs w:val="32"/>
        </w:rPr>
        <w:t>68.37</w:t>
      </w:r>
      <w:r>
        <w:rPr>
          <w:rFonts w:ascii="仿宋" w:eastAsia="仿宋" w:hAnsi="仿宋" w:hint="eastAsia"/>
          <w:color w:val="000000"/>
          <w:sz w:val="32"/>
          <w:szCs w:val="32"/>
        </w:rPr>
        <w:t>万元，政策性调资、一事一议财政奖补及农村公共服务追加等。</w:t>
      </w:r>
    </w:p>
    <w:p w:rsidR="002B2A1B" w:rsidRDefault="002B2A1B">
      <w:pPr>
        <w:spacing w:line="600" w:lineRule="exact"/>
        <w:rPr>
          <w:rFonts w:ascii="仿宋" w:eastAsia="仿宋" w:hAnsi="仿宋"/>
          <w:color w:val="000000"/>
          <w:sz w:val="32"/>
          <w:szCs w:val="32"/>
        </w:rPr>
      </w:pPr>
    </w:p>
    <w:p w:rsidR="002B2A1B" w:rsidRDefault="002B2A1B">
      <w:pPr>
        <w:spacing w:line="600" w:lineRule="exact"/>
        <w:rPr>
          <w:rFonts w:ascii="仿宋" w:eastAsia="仿宋" w:hAnsi="仿宋"/>
          <w:color w:val="000000"/>
          <w:sz w:val="32"/>
          <w:szCs w:val="32"/>
        </w:rPr>
      </w:pPr>
    </w:p>
    <w:p w:rsidR="002B2A1B" w:rsidRDefault="002B2A1B">
      <w:pPr>
        <w:spacing w:line="600" w:lineRule="exact"/>
        <w:rPr>
          <w:rFonts w:ascii="仿宋" w:eastAsia="仿宋" w:hAnsi="仿宋"/>
          <w:color w:val="000000"/>
          <w:sz w:val="32"/>
          <w:szCs w:val="32"/>
        </w:rPr>
      </w:pPr>
    </w:p>
    <w:p w:rsidR="002B2A1B" w:rsidRDefault="002B2A1B">
      <w:pPr>
        <w:spacing w:line="600" w:lineRule="exact"/>
        <w:rPr>
          <w:rFonts w:ascii="仿宋" w:eastAsia="仿宋" w:hAnsi="仿宋"/>
          <w:color w:val="000000"/>
          <w:sz w:val="32"/>
          <w:szCs w:val="32"/>
        </w:rPr>
      </w:pPr>
    </w:p>
    <w:p w:rsidR="002B2A1B" w:rsidRDefault="00572AE8">
      <w:pPr>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320040</wp:posOffset>
            </wp:positionH>
            <wp:positionV relativeFrom="paragraph">
              <wp:posOffset>-64135</wp:posOffset>
            </wp:positionV>
            <wp:extent cx="4658995" cy="283019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srcRect/>
                    <a:stretch>
                      <a:fillRect/>
                    </a:stretch>
                  </pic:blipFill>
                  <pic:spPr>
                    <a:xfrm>
                      <a:off x="0" y="0"/>
                      <a:ext cx="4658995" cy="2830195"/>
                    </a:xfrm>
                    <a:prstGeom prst="rect">
                      <a:avLst/>
                    </a:prstGeom>
                    <a:noFill/>
                    <a:ln w="9525">
                      <a:noFill/>
                      <a:miter lim="800000"/>
                      <a:headEnd/>
                      <a:tailEnd/>
                    </a:ln>
                  </pic:spPr>
                </pic:pic>
              </a:graphicData>
            </a:graphic>
          </wp:anchor>
        </w:drawing>
      </w:r>
    </w:p>
    <w:p w:rsidR="002B2A1B" w:rsidRDefault="00572AE8">
      <w:pPr>
        <w:spacing w:line="600" w:lineRule="exact"/>
        <w:ind w:firstLineChars="200" w:firstLine="640"/>
        <w:rPr>
          <w:rFonts w:ascii="仿宋" w:eastAsia="仿宋" w:hAnsi="仿宋"/>
          <w:b/>
          <w:color w:val="00B050"/>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2B2A1B" w:rsidRDefault="00572AE8">
      <w:pPr>
        <w:spacing w:line="600" w:lineRule="exact"/>
        <w:ind w:firstLineChars="200" w:firstLine="640"/>
        <w:outlineLvl w:val="1"/>
        <w:rPr>
          <w:rStyle w:val="2Char"/>
          <w:rFonts w:ascii="黑体" w:eastAsia="黑体" w:hAnsi="黑体"/>
          <w:b w:val="0"/>
        </w:rPr>
      </w:pPr>
      <w:bookmarkStart w:id="21" w:name="_Toc15377209"/>
      <w:bookmarkStart w:id="22"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1"/>
      <w:bookmarkEnd w:id="22"/>
    </w:p>
    <w:p w:rsidR="002B2A1B" w:rsidRDefault="00572AE8">
      <w:pPr>
        <w:spacing w:line="600" w:lineRule="exact"/>
        <w:ind w:firstLineChars="200" w:firstLine="643"/>
        <w:outlineLvl w:val="2"/>
        <w:rPr>
          <w:rFonts w:ascii="仿宋" w:eastAsia="仿宋" w:hAnsi="仿宋"/>
          <w:b/>
          <w:color w:val="000000"/>
          <w:sz w:val="32"/>
          <w:szCs w:val="32"/>
        </w:rPr>
      </w:pPr>
      <w:bookmarkStart w:id="23" w:name="_Toc15377210"/>
      <w:r>
        <w:rPr>
          <w:rFonts w:ascii="仿宋" w:eastAsia="仿宋" w:hAnsi="仿宋" w:hint="eastAsia"/>
          <w:b/>
          <w:color w:val="000000"/>
          <w:sz w:val="32"/>
          <w:szCs w:val="32"/>
        </w:rPr>
        <w:t>（一）一般公共预算财政拨款支出决算总体情况</w:t>
      </w:r>
      <w:bookmarkEnd w:id="23"/>
    </w:p>
    <w:p w:rsidR="002B2A1B" w:rsidRDefault="00572AE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2499.67</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126.97</w:t>
      </w:r>
      <w:r>
        <w:rPr>
          <w:rFonts w:ascii="仿宋" w:eastAsia="仿宋" w:hAnsi="仿宋" w:hint="eastAsia"/>
          <w:color w:val="000000"/>
          <w:sz w:val="32"/>
          <w:szCs w:val="32"/>
        </w:rPr>
        <w:t>万元，增长</w:t>
      </w:r>
      <w:r>
        <w:rPr>
          <w:rFonts w:ascii="仿宋" w:eastAsia="仿宋" w:hAnsi="仿宋" w:hint="eastAsia"/>
          <w:color w:val="000000"/>
          <w:sz w:val="32"/>
          <w:szCs w:val="32"/>
        </w:rPr>
        <w:t>5.35</w:t>
      </w:r>
      <w:r>
        <w:rPr>
          <w:rFonts w:ascii="仿宋" w:eastAsia="仿宋" w:hAnsi="仿宋"/>
          <w:color w:val="000000"/>
          <w:sz w:val="32"/>
          <w:szCs w:val="32"/>
        </w:rPr>
        <w:t>%</w:t>
      </w:r>
      <w:r>
        <w:rPr>
          <w:rFonts w:ascii="仿宋" w:eastAsia="仿宋" w:hAnsi="仿宋" w:hint="eastAsia"/>
          <w:color w:val="000000"/>
          <w:sz w:val="32"/>
          <w:szCs w:val="32"/>
        </w:rPr>
        <w:t>。主要变动原因是增加上年结转支出。</w:t>
      </w:r>
    </w:p>
    <w:p w:rsidR="002B2A1B" w:rsidRDefault="00572AE8">
      <w:pPr>
        <w:spacing w:line="600" w:lineRule="exact"/>
        <w:ind w:firstLineChars="200" w:firstLine="643"/>
        <w:outlineLvl w:val="2"/>
        <w:rPr>
          <w:rFonts w:ascii="仿宋" w:eastAsia="仿宋" w:hAnsi="仿宋"/>
          <w:b/>
          <w:color w:val="000000"/>
          <w:sz w:val="32"/>
          <w:szCs w:val="32"/>
        </w:rPr>
      </w:pPr>
      <w:bookmarkStart w:id="24" w:name="_Toc15377211"/>
      <w:r>
        <w:rPr>
          <w:rFonts w:ascii="仿宋" w:eastAsia="仿宋" w:hAnsi="仿宋" w:hint="eastAsia"/>
          <w:b/>
          <w:color w:val="000000"/>
          <w:sz w:val="32"/>
          <w:szCs w:val="32"/>
        </w:rPr>
        <w:t>（二）一般公共预算财政拨款支出决算结构情况</w:t>
      </w:r>
      <w:bookmarkEnd w:id="24"/>
    </w:p>
    <w:p w:rsidR="002B2A1B" w:rsidRDefault="00572AE8">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2499.68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927.4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37.1</w:t>
      </w:r>
      <w:r>
        <w:rPr>
          <w:rFonts w:ascii="仿宋" w:eastAsia="仿宋" w:hAnsi="仿宋"/>
          <w:color w:val="000000" w:themeColor="text1"/>
          <w:sz w:val="32"/>
          <w:szCs w:val="32"/>
        </w:rPr>
        <w:t>%</w:t>
      </w:r>
      <w:r>
        <w:rPr>
          <w:rFonts w:ascii="仿宋" w:eastAsia="仿宋" w:hAnsi="仿宋" w:hint="eastAsia"/>
          <w:color w:val="000000" w:themeColor="text1"/>
          <w:sz w:val="32"/>
          <w:szCs w:val="32"/>
        </w:rPr>
        <w:t>；国防支出</w:t>
      </w:r>
      <w:r>
        <w:rPr>
          <w:rFonts w:ascii="仿宋" w:eastAsia="仿宋" w:hAnsi="仿宋" w:hint="eastAsia"/>
          <w:color w:val="000000" w:themeColor="text1"/>
          <w:sz w:val="32"/>
          <w:szCs w:val="32"/>
        </w:rPr>
        <w:t>2.32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 xml:space="preserve"> 0.1 %</w:t>
      </w:r>
      <w:r>
        <w:rPr>
          <w:rFonts w:ascii="仿宋" w:eastAsia="仿宋" w:hAnsi="仿宋" w:hint="eastAsia"/>
          <w:color w:val="000000" w:themeColor="text1"/>
          <w:sz w:val="32"/>
          <w:szCs w:val="32"/>
        </w:rPr>
        <w:t>，公共安全支出</w:t>
      </w:r>
      <w:r>
        <w:rPr>
          <w:rFonts w:ascii="仿宋" w:eastAsia="仿宋" w:hAnsi="仿宋" w:hint="eastAsia"/>
          <w:color w:val="000000" w:themeColor="text1"/>
          <w:sz w:val="32"/>
          <w:szCs w:val="32"/>
        </w:rPr>
        <w:t>31.19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2.49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hint="eastAsia"/>
          <w:b/>
          <w:bCs/>
          <w:color w:val="000000" w:themeColor="text1"/>
          <w:sz w:val="32"/>
          <w:szCs w:val="32"/>
        </w:rPr>
        <w:t>16.4</w:t>
      </w:r>
      <w:r>
        <w:rPr>
          <w:rFonts w:ascii="仿宋" w:eastAsia="仿宋" w:hAnsi="仿宋" w:hint="eastAsia"/>
          <w:b/>
          <w:bCs/>
          <w:color w:val="000000" w:themeColor="text1"/>
          <w:sz w:val="32"/>
          <w:szCs w:val="32"/>
        </w:rPr>
        <w:t>万元，占</w:t>
      </w:r>
      <w:r>
        <w:rPr>
          <w:rFonts w:ascii="仿宋" w:eastAsia="仿宋" w:hAnsi="仿宋" w:hint="eastAsia"/>
          <w:b/>
          <w:bCs/>
          <w:color w:val="000000" w:themeColor="text1"/>
          <w:sz w:val="32"/>
          <w:szCs w:val="32"/>
        </w:rPr>
        <w:t>0.7</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b/>
          <w:color w:val="000000" w:themeColor="text1"/>
          <w:sz w:val="32"/>
          <w:szCs w:val="32"/>
        </w:rPr>
        <w:lastRenderedPageBreak/>
        <w:t>（类）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188.38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卫生健康支出（类）</w:t>
      </w:r>
      <w:r>
        <w:rPr>
          <w:rFonts w:ascii="仿宋" w:eastAsia="仿宋" w:hAnsi="仿宋" w:hint="eastAsia"/>
          <w:color w:val="000000" w:themeColor="text1"/>
          <w:sz w:val="32"/>
          <w:szCs w:val="32"/>
        </w:rPr>
        <w:t>212.89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8.5</w:t>
      </w:r>
      <w:r>
        <w:rPr>
          <w:rFonts w:ascii="仿宋" w:eastAsia="仿宋" w:hAnsi="仿宋"/>
          <w:color w:val="000000" w:themeColor="text1"/>
          <w:sz w:val="32"/>
          <w:szCs w:val="32"/>
        </w:rPr>
        <w:t>%</w:t>
      </w:r>
      <w:r>
        <w:rPr>
          <w:rFonts w:ascii="仿宋" w:eastAsia="仿宋" w:hAnsi="仿宋" w:hint="eastAsia"/>
          <w:color w:val="000000" w:themeColor="text1"/>
          <w:sz w:val="32"/>
          <w:szCs w:val="32"/>
        </w:rPr>
        <w:t>；节能环保支出</w:t>
      </w:r>
      <w:r>
        <w:rPr>
          <w:rFonts w:ascii="仿宋" w:eastAsia="仿宋" w:hAnsi="仿宋" w:hint="eastAsia"/>
          <w:color w:val="000000" w:themeColor="text1"/>
          <w:sz w:val="32"/>
          <w:szCs w:val="32"/>
        </w:rPr>
        <w:t>15.49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0.6 %</w:t>
      </w:r>
      <w:r>
        <w:rPr>
          <w:rFonts w:ascii="仿宋" w:eastAsia="仿宋" w:hAnsi="仿宋" w:hint="eastAsia"/>
          <w:color w:val="000000" w:themeColor="text1"/>
          <w:sz w:val="32"/>
          <w:szCs w:val="32"/>
        </w:rPr>
        <w:t>城乡社区支出</w:t>
      </w:r>
      <w:r>
        <w:rPr>
          <w:rFonts w:ascii="仿宋" w:eastAsia="仿宋" w:hAnsi="仿宋" w:hint="eastAsia"/>
          <w:color w:val="000000" w:themeColor="text1"/>
          <w:sz w:val="32"/>
          <w:szCs w:val="32"/>
        </w:rPr>
        <w:t>233.26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9.3 %</w:t>
      </w:r>
      <w:r>
        <w:rPr>
          <w:rFonts w:ascii="仿宋" w:eastAsia="仿宋" w:hAnsi="仿宋" w:hint="eastAsia"/>
          <w:color w:val="000000" w:themeColor="text1"/>
          <w:sz w:val="32"/>
          <w:szCs w:val="32"/>
        </w:rPr>
        <w:t>，农林水支出</w:t>
      </w:r>
      <w:r>
        <w:rPr>
          <w:rFonts w:ascii="仿宋" w:eastAsia="仿宋" w:hAnsi="仿宋" w:hint="eastAsia"/>
          <w:color w:val="000000" w:themeColor="text1"/>
          <w:sz w:val="32"/>
          <w:szCs w:val="32"/>
        </w:rPr>
        <w:t>784.99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31.41 %</w:t>
      </w:r>
      <w:r>
        <w:rPr>
          <w:rFonts w:ascii="仿宋" w:eastAsia="仿宋" w:hAnsi="仿宋" w:hint="eastAsia"/>
          <w:color w:val="000000" w:themeColor="text1"/>
          <w:sz w:val="32"/>
          <w:szCs w:val="32"/>
        </w:rPr>
        <w:t>，资源勘探信息等支出</w:t>
      </w:r>
      <w:r>
        <w:rPr>
          <w:rFonts w:ascii="仿宋" w:eastAsia="仿宋" w:hAnsi="仿宋" w:hint="eastAsia"/>
          <w:color w:val="000000" w:themeColor="text1"/>
          <w:sz w:val="32"/>
          <w:szCs w:val="32"/>
        </w:rPr>
        <w:t xml:space="preserve"> 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 xml:space="preserve"> 0.3 %</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67.03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2.7</w:t>
      </w:r>
      <w:r>
        <w:rPr>
          <w:rFonts w:ascii="仿宋" w:eastAsia="仿宋" w:hAnsi="仿宋"/>
          <w:color w:val="000000" w:themeColor="text1"/>
          <w:sz w:val="32"/>
          <w:szCs w:val="32"/>
        </w:rPr>
        <w:t>%</w:t>
      </w:r>
      <w:r>
        <w:rPr>
          <w:rFonts w:ascii="仿宋" w:eastAsia="仿宋" w:hAnsi="仿宋" w:hint="eastAsia"/>
          <w:color w:val="000000" w:themeColor="text1"/>
          <w:sz w:val="32"/>
          <w:szCs w:val="32"/>
        </w:rPr>
        <w:t>；灾害防治及应急管理支出</w:t>
      </w:r>
      <w:r>
        <w:rPr>
          <w:rFonts w:ascii="仿宋" w:eastAsia="仿宋" w:hAnsi="仿宋" w:hint="eastAsia"/>
          <w:color w:val="000000" w:themeColor="text1"/>
          <w:sz w:val="32"/>
          <w:szCs w:val="32"/>
        </w:rPr>
        <w:t>10.84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0.4 %</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2B2A1B" w:rsidRDefault="00572AE8">
      <w:pPr>
        <w:spacing w:line="600" w:lineRule="exact"/>
        <w:ind w:firstLineChars="200" w:firstLine="643"/>
        <w:outlineLvl w:val="2"/>
        <w:rPr>
          <w:rFonts w:ascii="仿宋" w:eastAsia="仿宋" w:hAnsi="仿宋"/>
          <w:b/>
          <w:color w:val="000000"/>
          <w:sz w:val="32"/>
          <w:szCs w:val="32"/>
        </w:rPr>
      </w:pPr>
      <w:bookmarkStart w:id="25" w:name="_Toc15377212"/>
      <w:r>
        <w:rPr>
          <w:rFonts w:ascii="仿宋" w:eastAsia="仿宋" w:hAnsi="仿宋" w:hint="eastAsia"/>
          <w:b/>
          <w:color w:val="000000"/>
          <w:sz w:val="32"/>
          <w:szCs w:val="32"/>
        </w:rPr>
        <w:t>（三）一般公共预算财政拨款支出决算具体情况</w:t>
      </w:r>
      <w:bookmarkEnd w:id="25"/>
    </w:p>
    <w:p w:rsidR="002B2A1B" w:rsidRDefault="00572AE8">
      <w:pPr>
        <w:spacing w:line="600" w:lineRule="exact"/>
        <w:ind w:firstLineChars="200" w:firstLine="643"/>
        <w:outlineLvl w:val="2"/>
        <w:rPr>
          <w:rFonts w:ascii="仿宋" w:eastAsia="仿宋" w:hAnsi="仿宋"/>
          <w:color w:val="FF0000"/>
          <w:sz w:val="32"/>
          <w:szCs w:val="32"/>
        </w:rPr>
      </w:pPr>
      <w:bookmarkStart w:id="26" w:name="_Toc15377213"/>
      <w:bookmarkStart w:id="27" w:name="_Toc15378460"/>
      <w:bookmarkStart w:id="28" w:name="_Toc15377444"/>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2499.68</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26"/>
      <w:bookmarkEnd w:id="27"/>
      <w:bookmarkEnd w:id="28"/>
    </w:p>
    <w:p w:rsidR="002B2A1B" w:rsidRDefault="00572AE8">
      <w:pPr>
        <w:snapToGrid w:val="0"/>
        <w:spacing w:line="500" w:lineRule="exact"/>
        <w:ind w:firstLineChars="200" w:firstLine="643"/>
        <w:rPr>
          <w:rFonts w:ascii="楷体_GB2312" w:eastAsia="楷体_GB2312" w:hAnsi="楷体_GB2312" w:cs="楷体_GB2312"/>
          <w:sz w:val="32"/>
          <w:szCs w:val="32"/>
        </w:rPr>
      </w:pPr>
      <w:r>
        <w:rPr>
          <w:rStyle w:val="a7"/>
          <w:rFonts w:ascii="仿宋" w:eastAsia="仿宋" w:hAnsi="仿宋" w:hint="eastAsia"/>
          <w:bCs/>
          <w:color w:val="000000"/>
          <w:sz w:val="32"/>
          <w:szCs w:val="32"/>
        </w:rPr>
        <w:t>1</w:t>
      </w:r>
      <w:r>
        <w:rPr>
          <w:rStyle w:val="a7"/>
          <w:rFonts w:ascii="仿宋" w:eastAsia="仿宋" w:hAnsi="仿宋" w:hint="eastAsia"/>
          <w:bCs/>
          <w:color w:val="000000"/>
          <w:sz w:val="32"/>
          <w:szCs w:val="32"/>
        </w:rPr>
        <w:t>、</w:t>
      </w:r>
      <w:r>
        <w:rPr>
          <w:rFonts w:ascii="楷体_GB2312" w:eastAsia="楷体_GB2312" w:hAnsi="楷体_GB2312" w:cs="楷体_GB2312" w:hint="eastAsia"/>
          <w:sz w:val="32"/>
          <w:szCs w:val="32"/>
        </w:rPr>
        <w:t>2010301</w:t>
      </w:r>
      <w:r>
        <w:rPr>
          <w:rFonts w:ascii="楷体_GB2312" w:eastAsia="楷体_GB2312" w:hAnsi="楷体_GB2312" w:cs="楷体_GB2312" w:hint="eastAsia"/>
          <w:sz w:val="32"/>
          <w:szCs w:val="32"/>
        </w:rPr>
        <w:t>政府办公厅（室）及相关机构事务</w:t>
      </w:r>
      <w:r>
        <w:rPr>
          <w:rFonts w:ascii="楷体_GB2312" w:eastAsia="楷体_GB2312" w:hAnsi="楷体_GB2312" w:cs="楷体_GB2312" w:hint="eastAsia"/>
          <w:sz w:val="32"/>
          <w:szCs w:val="32"/>
        </w:rPr>
        <w:t>860.93</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2010399</w:t>
      </w:r>
      <w:r>
        <w:rPr>
          <w:rFonts w:ascii="楷体_GB2312" w:eastAsia="楷体_GB2312" w:hAnsi="楷体_GB2312" w:cs="楷体_GB2312" w:hint="eastAsia"/>
          <w:sz w:val="32"/>
          <w:szCs w:val="32"/>
        </w:rPr>
        <w:t>其他政府办公厅（室）及相关机构事务</w:t>
      </w:r>
      <w:r>
        <w:rPr>
          <w:rFonts w:ascii="楷体_GB2312" w:eastAsia="楷体_GB2312" w:hAnsi="楷体_GB2312" w:cs="楷体_GB2312" w:hint="eastAsia"/>
          <w:sz w:val="32"/>
          <w:szCs w:val="32"/>
        </w:rPr>
        <w:t>24.08</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20805</w:t>
      </w:r>
      <w:r>
        <w:rPr>
          <w:rFonts w:ascii="楷体_GB2312" w:eastAsia="楷体_GB2312" w:hAnsi="楷体_GB2312" w:cs="楷体_GB2312" w:hint="eastAsia"/>
          <w:sz w:val="32"/>
          <w:szCs w:val="32"/>
        </w:rPr>
        <w:t>行政事业单位离退休</w:t>
      </w:r>
      <w:r>
        <w:rPr>
          <w:rFonts w:ascii="楷体_GB2312" w:eastAsia="楷体_GB2312" w:hAnsi="楷体_GB2312" w:cs="楷体_GB2312" w:hint="eastAsia"/>
          <w:sz w:val="32"/>
          <w:szCs w:val="32"/>
        </w:rPr>
        <w:t>136.14</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210</w:t>
      </w:r>
      <w:r>
        <w:rPr>
          <w:rFonts w:ascii="楷体_GB2312" w:eastAsia="楷体_GB2312" w:hAnsi="楷体_GB2312" w:cs="楷体_GB2312" w:hint="eastAsia"/>
          <w:sz w:val="32"/>
          <w:szCs w:val="32"/>
        </w:rPr>
        <w:t>医疗卫生与计划生育支出</w:t>
      </w:r>
      <w:r>
        <w:rPr>
          <w:rFonts w:ascii="楷体_GB2312" w:eastAsia="楷体_GB2312" w:hAnsi="楷体_GB2312" w:cs="楷体_GB2312" w:hint="eastAsia"/>
          <w:sz w:val="32"/>
          <w:szCs w:val="32"/>
        </w:rPr>
        <w:t>206.3</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2130106</w:t>
      </w:r>
      <w:r>
        <w:rPr>
          <w:rFonts w:ascii="楷体_GB2312" w:eastAsia="楷体_GB2312" w:hAnsi="楷体_GB2312" w:cs="楷体_GB2312" w:hint="eastAsia"/>
          <w:sz w:val="32"/>
          <w:szCs w:val="32"/>
        </w:rPr>
        <w:t>科技转化与推广服务</w:t>
      </w:r>
      <w:r>
        <w:rPr>
          <w:rFonts w:ascii="楷体_GB2312" w:eastAsia="楷体_GB2312" w:hAnsi="楷体_GB2312" w:cs="楷体_GB2312" w:hint="eastAsia"/>
          <w:sz w:val="32"/>
          <w:szCs w:val="32"/>
        </w:rPr>
        <w:t>158.15</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22102</w:t>
      </w:r>
      <w:r>
        <w:rPr>
          <w:rFonts w:ascii="楷体_GB2312" w:eastAsia="楷体_GB2312" w:hAnsi="楷体_GB2312" w:cs="楷体_GB2312" w:hint="eastAsia"/>
          <w:sz w:val="32"/>
          <w:szCs w:val="32"/>
        </w:rPr>
        <w:t>住房改革支出</w:t>
      </w:r>
      <w:r>
        <w:rPr>
          <w:rFonts w:ascii="楷体_GB2312" w:eastAsia="楷体_GB2312" w:hAnsi="楷体_GB2312" w:cs="楷体_GB2312" w:hint="eastAsia"/>
          <w:sz w:val="32"/>
          <w:szCs w:val="32"/>
        </w:rPr>
        <w:t>67.03</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2010104</w:t>
      </w:r>
      <w:r>
        <w:rPr>
          <w:rFonts w:ascii="楷体_GB2312" w:eastAsia="楷体_GB2312" w:hAnsi="楷体_GB2312" w:cs="楷体_GB2312" w:hint="eastAsia"/>
          <w:sz w:val="32"/>
          <w:szCs w:val="32"/>
        </w:rPr>
        <w:t>人大会议</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2010199</w:t>
      </w:r>
      <w:r>
        <w:rPr>
          <w:rFonts w:ascii="楷体_GB2312" w:eastAsia="楷体_GB2312" w:hAnsi="楷体_GB2312" w:cs="楷体_GB2312" w:hint="eastAsia"/>
          <w:sz w:val="32"/>
          <w:szCs w:val="32"/>
        </w:rPr>
        <w:t>其他人大事务支出</w:t>
      </w:r>
      <w:r>
        <w:rPr>
          <w:rFonts w:ascii="楷体_GB2312" w:eastAsia="楷体_GB2312" w:hAnsi="楷体_GB2312" w:cs="楷体_GB2312" w:hint="eastAsia"/>
          <w:sz w:val="32"/>
          <w:szCs w:val="32"/>
        </w:rPr>
        <w:t>5.87</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2010399</w:t>
      </w:r>
      <w:r>
        <w:rPr>
          <w:rFonts w:ascii="楷体_GB2312" w:eastAsia="楷体_GB2312" w:hAnsi="楷体_GB2312" w:cs="楷体_GB2312" w:hint="eastAsia"/>
          <w:sz w:val="32"/>
          <w:szCs w:val="32"/>
        </w:rPr>
        <w:t>其他政府办公厅（室）及相关机构事务支出</w:t>
      </w:r>
      <w:r>
        <w:rPr>
          <w:rFonts w:ascii="楷体_GB2312" w:eastAsia="楷体_GB2312" w:hAnsi="楷体_GB2312" w:cs="楷体_GB2312" w:hint="eastAsia"/>
          <w:sz w:val="32"/>
          <w:szCs w:val="32"/>
        </w:rPr>
        <w:t>26.08</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2013199</w:t>
      </w:r>
      <w:r>
        <w:rPr>
          <w:rFonts w:ascii="楷体_GB2312" w:eastAsia="楷体_GB2312" w:hAnsi="楷体_GB2312" w:cs="楷体_GB2312" w:hint="eastAsia"/>
          <w:sz w:val="32"/>
          <w:szCs w:val="32"/>
        </w:rPr>
        <w:t>其他党办公厅（室）及相关机构事务委</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2010507</w:t>
      </w:r>
      <w:r>
        <w:rPr>
          <w:rFonts w:ascii="楷体_GB2312" w:eastAsia="楷体_GB2312" w:hAnsi="楷体_GB2312" w:cs="楷体_GB2312" w:hint="eastAsia"/>
          <w:sz w:val="32"/>
          <w:szCs w:val="32"/>
        </w:rPr>
        <w:t>专项普查</w:t>
      </w:r>
      <w:r>
        <w:rPr>
          <w:rFonts w:ascii="楷体_GB2312" w:eastAsia="楷体_GB2312" w:hAnsi="楷体_GB2312" w:cs="楷体_GB2312" w:hint="eastAsia"/>
          <w:sz w:val="32"/>
          <w:szCs w:val="32"/>
        </w:rPr>
        <w:t>1.77</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2010599</w:t>
      </w:r>
      <w:r>
        <w:rPr>
          <w:rFonts w:ascii="楷体_GB2312" w:eastAsia="楷体_GB2312" w:hAnsi="楷体_GB2312" w:cs="楷体_GB2312" w:hint="eastAsia"/>
          <w:sz w:val="32"/>
          <w:szCs w:val="32"/>
        </w:rPr>
        <w:t>其他统计事务</w:t>
      </w:r>
      <w:r>
        <w:rPr>
          <w:rFonts w:ascii="楷体_GB2312" w:eastAsia="楷体_GB2312" w:hAnsi="楷体_GB2312" w:cs="楷体_GB2312" w:hint="eastAsia"/>
          <w:sz w:val="32"/>
          <w:szCs w:val="32"/>
        </w:rPr>
        <w:t>1.65</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2030607</w:t>
      </w:r>
      <w:r>
        <w:rPr>
          <w:rFonts w:ascii="楷体_GB2312" w:eastAsia="楷体_GB2312" w:hAnsi="楷体_GB2312" w:cs="楷体_GB2312" w:hint="eastAsia"/>
          <w:sz w:val="32"/>
          <w:szCs w:val="32"/>
        </w:rPr>
        <w:t>民兵</w:t>
      </w:r>
      <w:r>
        <w:rPr>
          <w:rFonts w:ascii="楷体_GB2312" w:eastAsia="楷体_GB2312" w:hAnsi="楷体_GB2312" w:cs="楷体_GB2312" w:hint="eastAsia"/>
          <w:sz w:val="32"/>
          <w:szCs w:val="32"/>
        </w:rPr>
        <w:t>2.32</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14</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2040299</w:t>
      </w:r>
      <w:r>
        <w:rPr>
          <w:rFonts w:ascii="楷体_GB2312" w:eastAsia="楷体_GB2312" w:hAnsi="楷体_GB2312" w:cs="楷体_GB2312" w:hint="eastAsia"/>
          <w:sz w:val="32"/>
          <w:szCs w:val="32"/>
        </w:rPr>
        <w:t>其他公安支出</w:t>
      </w:r>
      <w:r>
        <w:rPr>
          <w:rFonts w:ascii="楷体_GB2312" w:eastAsia="楷体_GB2312" w:hAnsi="楷体_GB2312" w:cs="楷体_GB2312" w:hint="eastAsia"/>
          <w:sz w:val="32"/>
          <w:szCs w:val="32"/>
        </w:rPr>
        <w:t>31.18</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2059999</w:t>
      </w:r>
      <w:r>
        <w:rPr>
          <w:rFonts w:ascii="楷体_GB2312" w:eastAsia="楷体_GB2312" w:hAnsi="楷体_GB2312" w:cs="楷体_GB2312" w:hint="eastAsia"/>
          <w:sz w:val="32"/>
          <w:szCs w:val="32"/>
        </w:rPr>
        <w:t>其他教育支出</w:t>
      </w:r>
      <w:r>
        <w:rPr>
          <w:rFonts w:ascii="楷体_GB2312" w:eastAsia="楷体_GB2312" w:hAnsi="楷体_GB2312" w:cs="楷体_GB2312" w:hint="eastAsia"/>
          <w:sz w:val="32"/>
          <w:szCs w:val="32"/>
        </w:rPr>
        <w:t>2.49</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2070109</w:t>
      </w:r>
      <w:r>
        <w:rPr>
          <w:rFonts w:ascii="楷体_GB2312" w:eastAsia="楷体_GB2312" w:hAnsi="楷体_GB2312" w:cs="楷体_GB2312" w:hint="eastAsia"/>
          <w:sz w:val="32"/>
          <w:szCs w:val="32"/>
        </w:rPr>
        <w:t>群众文化</w:t>
      </w:r>
      <w:r>
        <w:rPr>
          <w:rFonts w:ascii="楷体_GB2312" w:eastAsia="楷体_GB2312" w:hAnsi="楷体_GB2312" w:cs="楷体_GB2312" w:hint="eastAsia"/>
          <w:sz w:val="32"/>
          <w:szCs w:val="32"/>
        </w:rPr>
        <w:t>5.72</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2079999</w:t>
      </w:r>
      <w:r>
        <w:rPr>
          <w:rFonts w:ascii="楷体_GB2312" w:eastAsia="楷体_GB2312" w:hAnsi="楷体_GB2312" w:cs="楷体_GB2312" w:hint="eastAsia"/>
          <w:sz w:val="32"/>
          <w:szCs w:val="32"/>
        </w:rPr>
        <w:t>其他文化体育与传媒支出</w:t>
      </w:r>
      <w:r>
        <w:rPr>
          <w:rFonts w:ascii="楷体_GB2312" w:eastAsia="楷体_GB2312" w:hAnsi="楷体_GB2312" w:cs="楷体_GB2312" w:hint="eastAsia"/>
          <w:sz w:val="32"/>
          <w:szCs w:val="32"/>
        </w:rPr>
        <w:t>10.68</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20821</w:t>
      </w:r>
      <w:r>
        <w:rPr>
          <w:rFonts w:ascii="楷体_GB2312" w:eastAsia="楷体_GB2312" w:hAnsi="楷体_GB2312" w:cs="楷体_GB2312" w:hint="eastAsia"/>
          <w:sz w:val="32"/>
          <w:szCs w:val="32"/>
        </w:rPr>
        <w:t>特困人员救助供养</w:t>
      </w:r>
      <w:r>
        <w:rPr>
          <w:rFonts w:ascii="楷体_GB2312" w:eastAsia="楷体_GB2312" w:hAnsi="楷体_GB2312" w:cs="楷体_GB2312" w:hint="eastAsia"/>
          <w:sz w:val="32"/>
          <w:szCs w:val="32"/>
        </w:rPr>
        <w:t>43.81</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20825</w:t>
      </w:r>
      <w:r>
        <w:rPr>
          <w:rFonts w:ascii="楷体_GB2312" w:eastAsia="楷体_GB2312" w:hAnsi="楷体_GB2312" w:cs="楷体_GB2312" w:hint="eastAsia"/>
          <w:sz w:val="32"/>
          <w:szCs w:val="32"/>
        </w:rPr>
        <w:t>其他生活救助</w:t>
      </w:r>
      <w:r>
        <w:rPr>
          <w:rFonts w:ascii="楷体_GB2312" w:eastAsia="楷体_GB2312" w:hAnsi="楷体_GB2312" w:cs="楷体_GB2312" w:hint="eastAsia"/>
          <w:sz w:val="32"/>
          <w:szCs w:val="32"/>
        </w:rPr>
        <w:t>8.43</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2100499</w:t>
      </w:r>
      <w:r>
        <w:rPr>
          <w:rFonts w:ascii="楷体_GB2312" w:eastAsia="楷体_GB2312" w:hAnsi="楷体_GB2312" w:cs="楷体_GB2312" w:hint="eastAsia"/>
          <w:sz w:val="32"/>
          <w:szCs w:val="32"/>
        </w:rPr>
        <w:t>其他公共卫生支出</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2100717</w:t>
      </w:r>
      <w:r>
        <w:rPr>
          <w:rFonts w:ascii="楷体_GB2312" w:eastAsia="楷体_GB2312" w:hAnsi="楷体_GB2312" w:cs="楷体_GB2312" w:hint="eastAsia"/>
          <w:sz w:val="32"/>
          <w:szCs w:val="32"/>
        </w:rPr>
        <w:t>计划生育服务</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2110402</w:t>
      </w:r>
      <w:r>
        <w:rPr>
          <w:rFonts w:ascii="楷体_GB2312" w:eastAsia="楷体_GB2312" w:hAnsi="楷体_GB2312" w:cs="楷体_GB2312" w:hint="eastAsia"/>
          <w:sz w:val="32"/>
          <w:szCs w:val="32"/>
        </w:rPr>
        <w:t>农村环境保护</w:t>
      </w:r>
      <w:r>
        <w:rPr>
          <w:rFonts w:ascii="楷体_GB2312" w:eastAsia="楷体_GB2312" w:hAnsi="楷体_GB2312" w:cs="楷体_GB2312" w:hint="eastAsia"/>
          <w:sz w:val="32"/>
          <w:szCs w:val="32"/>
        </w:rPr>
        <w:t>15.48</w:t>
      </w:r>
      <w:r>
        <w:rPr>
          <w:rFonts w:ascii="楷体_GB2312" w:eastAsia="楷体_GB2312" w:hAnsi="楷体_GB2312" w:cs="楷体_GB2312" w:hint="eastAsia"/>
          <w:sz w:val="32"/>
          <w:szCs w:val="32"/>
        </w:rPr>
        <w:t>万元；</w:t>
      </w:r>
    </w:p>
    <w:p w:rsidR="002B2A1B" w:rsidRDefault="00572AE8">
      <w:pPr>
        <w:snapToGrid w:val="0"/>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2120303</w:t>
      </w:r>
      <w:r>
        <w:rPr>
          <w:rFonts w:ascii="楷体_GB2312" w:eastAsia="楷体_GB2312" w:hAnsi="楷体_GB2312" w:cs="楷体_GB2312" w:hint="eastAsia"/>
          <w:sz w:val="32"/>
          <w:szCs w:val="32"/>
        </w:rPr>
        <w:t>小城镇基础设施建设</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2120399</w:t>
      </w:r>
      <w:r>
        <w:rPr>
          <w:rFonts w:ascii="楷体_GB2312" w:eastAsia="楷体_GB2312" w:hAnsi="楷体_GB2312" w:cs="楷体_GB2312" w:hint="eastAsia"/>
          <w:sz w:val="32"/>
          <w:szCs w:val="32"/>
        </w:rPr>
        <w:t>其他城乡社区公共设施支出</w:t>
      </w:r>
      <w:r>
        <w:rPr>
          <w:rFonts w:ascii="楷体_GB2312" w:eastAsia="楷体_GB2312" w:hAnsi="楷体_GB2312" w:cs="楷体_GB2312" w:hint="eastAsia"/>
          <w:sz w:val="32"/>
          <w:szCs w:val="32"/>
        </w:rPr>
        <w:t>75.03</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120501</w:t>
      </w:r>
      <w:r>
        <w:rPr>
          <w:rFonts w:ascii="楷体_GB2312" w:eastAsia="楷体_GB2312" w:hAnsi="楷体_GB2312" w:cs="楷体_GB2312" w:hint="eastAsia"/>
          <w:sz w:val="32"/>
          <w:szCs w:val="32"/>
        </w:rPr>
        <w:t>城乡社区环境卫生</w:t>
      </w:r>
      <w:r>
        <w:rPr>
          <w:rFonts w:ascii="楷体_GB2312" w:eastAsia="楷体_GB2312" w:hAnsi="楷体_GB2312" w:cs="楷体_GB2312" w:hint="eastAsia"/>
          <w:sz w:val="32"/>
          <w:szCs w:val="32"/>
        </w:rPr>
        <w:t>128.23</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2130108</w:t>
      </w:r>
      <w:r>
        <w:rPr>
          <w:rFonts w:ascii="楷体_GB2312" w:eastAsia="楷体_GB2312" w:hAnsi="楷体_GB2312" w:cs="楷体_GB2312" w:hint="eastAsia"/>
          <w:sz w:val="32"/>
          <w:szCs w:val="32"/>
        </w:rPr>
        <w:t>病虫害防治</w:t>
      </w:r>
      <w:r>
        <w:rPr>
          <w:rFonts w:ascii="楷体_GB2312" w:eastAsia="楷体_GB2312" w:hAnsi="楷体_GB2312" w:cs="楷体_GB2312" w:hint="eastAsia"/>
          <w:sz w:val="32"/>
          <w:szCs w:val="32"/>
        </w:rPr>
        <w:t>1.64</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21301024</w:t>
      </w:r>
      <w:r>
        <w:rPr>
          <w:rFonts w:ascii="楷体_GB2312" w:eastAsia="楷体_GB2312" w:hAnsi="楷体_GB2312" w:cs="楷体_GB2312" w:hint="eastAsia"/>
          <w:sz w:val="32"/>
          <w:szCs w:val="32"/>
        </w:rPr>
        <w:t>农业</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组织化与产业化经营</w:t>
      </w:r>
      <w:r>
        <w:rPr>
          <w:rFonts w:ascii="楷体_GB2312" w:eastAsia="楷体_GB2312" w:hAnsi="楷体_GB2312" w:cs="楷体_GB2312" w:hint="eastAsia"/>
          <w:sz w:val="32"/>
          <w:szCs w:val="32"/>
        </w:rPr>
        <w:t>17.47</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2130142</w:t>
      </w:r>
      <w:r>
        <w:rPr>
          <w:rFonts w:ascii="楷体_GB2312" w:eastAsia="楷体_GB2312" w:hAnsi="楷体_GB2312" w:cs="楷体_GB2312" w:hint="eastAsia"/>
          <w:sz w:val="32"/>
          <w:szCs w:val="32"/>
        </w:rPr>
        <w:t>农村道路建设</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2130199</w:t>
      </w:r>
      <w:r>
        <w:rPr>
          <w:rFonts w:ascii="楷体_GB2312" w:eastAsia="楷体_GB2312" w:hAnsi="楷体_GB2312" w:cs="楷体_GB2312" w:hint="eastAsia"/>
          <w:sz w:val="32"/>
          <w:szCs w:val="32"/>
        </w:rPr>
        <w:t>其他农业支出</w:t>
      </w:r>
      <w:r>
        <w:rPr>
          <w:rFonts w:ascii="楷体_GB2312" w:eastAsia="楷体_GB2312" w:hAnsi="楷体_GB2312" w:cs="楷体_GB2312" w:hint="eastAsia"/>
          <w:sz w:val="32"/>
          <w:szCs w:val="32"/>
        </w:rPr>
        <w:t>18.54</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2130599</w:t>
      </w:r>
      <w:r>
        <w:rPr>
          <w:rFonts w:ascii="楷体_GB2312" w:eastAsia="楷体_GB2312" w:hAnsi="楷体_GB2312" w:cs="楷体_GB2312" w:hint="eastAsia"/>
          <w:sz w:val="32"/>
          <w:szCs w:val="32"/>
        </w:rPr>
        <w:t>其他扶贫支出</w:t>
      </w:r>
      <w:r>
        <w:rPr>
          <w:rFonts w:ascii="楷体_GB2312" w:eastAsia="楷体_GB2312" w:hAnsi="楷体_GB2312" w:cs="楷体_GB2312" w:hint="eastAsia"/>
          <w:sz w:val="32"/>
          <w:szCs w:val="32"/>
        </w:rPr>
        <w:t>11.76</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2130314</w:t>
      </w:r>
      <w:r>
        <w:rPr>
          <w:rFonts w:ascii="楷体_GB2312" w:eastAsia="楷体_GB2312" w:hAnsi="楷体_GB2312" w:cs="楷体_GB2312" w:hint="eastAsia"/>
          <w:sz w:val="32"/>
          <w:szCs w:val="32"/>
        </w:rPr>
        <w:t>防汛</w:t>
      </w:r>
      <w:r>
        <w:rPr>
          <w:rFonts w:ascii="楷体_GB2312" w:eastAsia="楷体_GB2312" w:hAnsi="楷体_GB2312" w:cs="楷体_GB2312" w:hint="eastAsia"/>
          <w:sz w:val="32"/>
          <w:szCs w:val="32"/>
        </w:rPr>
        <w:t>15.13</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525"/>
        <w:rPr>
          <w:rFonts w:ascii="楷体_GB2312" w:eastAsia="楷体_GB2312" w:hAnsi="楷体_GB2312" w:cs="楷体_GB2312"/>
          <w:sz w:val="32"/>
          <w:szCs w:val="32"/>
        </w:rPr>
      </w:pPr>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2130701</w:t>
      </w:r>
      <w:r>
        <w:rPr>
          <w:rFonts w:ascii="楷体_GB2312" w:eastAsia="楷体_GB2312" w:hAnsi="楷体_GB2312" w:cs="楷体_GB2312" w:hint="eastAsia"/>
          <w:sz w:val="32"/>
          <w:szCs w:val="32"/>
        </w:rPr>
        <w:t>对村级一事一议补助</w:t>
      </w:r>
      <w:r>
        <w:rPr>
          <w:rFonts w:ascii="楷体_GB2312" w:eastAsia="楷体_GB2312" w:hAnsi="楷体_GB2312" w:cs="楷体_GB2312" w:hint="eastAsia"/>
          <w:sz w:val="32"/>
          <w:szCs w:val="32"/>
        </w:rPr>
        <w:t>50.7</w:t>
      </w:r>
      <w:r>
        <w:rPr>
          <w:rFonts w:ascii="楷体_GB2312" w:eastAsia="楷体_GB2312" w:hAnsi="楷体_GB2312" w:cs="楷体_GB2312" w:hint="eastAsia"/>
          <w:sz w:val="32"/>
          <w:szCs w:val="32"/>
        </w:rPr>
        <w:t>万元；</w:t>
      </w:r>
    </w:p>
    <w:p w:rsidR="002B2A1B" w:rsidRDefault="00572AE8">
      <w:pPr>
        <w:snapToGrid w:val="0"/>
        <w:spacing w:line="500" w:lineRule="exact"/>
        <w:ind w:leftChars="250" w:left="685" w:hangingChars="50" w:hanging="160"/>
        <w:rPr>
          <w:rFonts w:ascii="楷体_GB2312" w:eastAsia="楷体_GB2312" w:hAnsi="楷体_GB2312" w:cs="楷体_GB2312"/>
          <w:sz w:val="32"/>
          <w:szCs w:val="32"/>
        </w:rPr>
      </w:pPr>
      <w:r>
        <w:rPr>
          <w:rFonts w:ascii="楷体_GB2312" w:eastAsia="楷体_GB2312" w:hAnsi="楷体_GB2312" w:cs="楷体_GB2312" w:hint="eastAsia"/>
          <w:sz w:val="32"/>
          <w:szCs w:val="32"/>
        </w:rPr>
        <w:t>33</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2130705</w:t>
      </w:r>
      <w:r>
        <w:rPr>
          <w:rFonts w:ascii="楷体_GB2312" w:eastAsia="楷体_GB2312" w:hAnsi="楷体_GB2312" w:cs="楷体_GB2312" w:hint="eastAsia"/>
          <w:sz w:val="32"/>
          <w:szCs w:val="32"/>
        </w:rPr>
        <w:t>对村民委员会和村党支部的补助</w:t>
      </w:r>
      <w:r>
        <w:rPr>
          <w:rFonts w:ascii="楷体_GB2312" w:eastAsia="楷体_GB2312" w:hAnsi="楷体_GB2312" w:cs="楷体_GB2312" w:hint="eastAsia"/>
          <w:sz w:val="32"/>
          <w:szCs w:val="32"/>
        </w:rPr>
        <w:t>503.6</w:t>
      </w:r>
      <w:r>
        <w:rPr>
          <w:rFonts w:ascii="楷体_GB2312" w:eastAsia="楷体_GB2312" w:hAnsi="楷体_GB2312" w:cs="楷体_GB2312" w:hint="eastAsia"/>
          <w:sz w:val="32"/>
          <w:szCs w:val="32"/>
        </w:rPr>
        <w:t>万元；</w:t>
      </w:r>
      <w:r>
        <w:rPr>
          <w:rFonts w:ascii="楷体_GB2312" w:eastAsia="楷体_GB2312" w:hAnsi="楷体_GB2312" w:cs="楷体_GB2312" w:hint="eastAsia"/>
          <w:sz w:val="32"/>
          <w:szCs w:val="32"/>
        </w:rPr>
        <w:t>34</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2150899</w:t>
      </w:r>
      <w:r>
        <w:rPr>
          <w:rFonts w:ascii="楷体_GB2312" w:eastAsia="楷体_GB2312" w:hAnsi="楷体_GB2312" w:cs="楷体_GB2312" w:hint="eastAsia"/>
          <w:sz w:val="32"/>
          <w:szCs w:val="32"/>
        </w:rPr>
        <w:t>其他支持中小企业发展和管理支出</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万元；</w:t>
      </w:r>
      <w:r>
        <w:rPr>
          <w:rFonts w:ascii="楷体_GB2312" w:eastAsia="楷体_GB2312" w:hAnsi="楷体_GB2312" w:cs="楷体_GB2312" w:hint="eastAsia"/>
          <w:sz w:val="32"/>
          <w:szCs w:val="32"/>
        </w:rPr>
        <w:t>35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22499</w:t>
      </w:r>
      <w:r>
        <w:rPr>
          <w:rFonts w:ascii="楷体_GB2312" w:eastAsia="楷体_GB2312" w:hAnsi="楷体_GB2312" w:cs="楷体_GB2312" w:hint="eastAsia"/>
          <w:sz w:val="32"/>
          <w:szCs w:val="32"/>
        </w:rPr>
        <w:t>其他灾害防治及应急管理</w:t>
      </w:r>
      <w:r>
        <w:rPr>
          <w:rFonts w:ascii="楷体_GB2312" w:eastAsia="楷体_GB2312" w:hAnsi="楷体_GB2312" w:cs="楷体_GB2312" w:hint="eastAsia"/>
          <w:sz w:val="32"/>
          <w:szCs w:val="32"/>
        </w:rPr>
        <w:t>10.84</w:t>
      </w:r>
      <w:r>
        <w:rPr>
          <w:rFonts w:ascii="楷体_GB2312" w:eastAsia="楷体_GB2312" w:hAnsi="楷体_GB2312" w:cs="楷体_GB2312" w:hint="eastAsia"/>
          <w:sz w:val="32"/>
          <w:szCs w:val="32"/>
        </w:rPr>
        <w:t>万元。</w:t>
      </w:r>
    </w:p>
    <w:p w:rsidR="002B2A1B" w:rsidRDefault="00572AE8">
      <w:pPr>
        <w:tabs>
          <w:tab w:val="right" w:pos="8306"/>
        </w:tabs>
        <w:spacing w:line="600" w:lineRule="exact"/>
        <w:ind w:firstLine="640"/>
        <w:outlineLvl w:val="1"/>
        <w:rPr>
          <w:rStyle w:val="2Char"/>
        </w:rPr>
      </w:pPr>
      <w:bookmarkStart w:id="29" w:name="_Toc15377214"/>
      <w:bookmarkStart w:id="30"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29"/>
      <w:bookmarkEnd w:id="30"/>
      <w:r>
        <w:rPr>
          <w:rStyle w:val="2Char"/>
          <w:rFonts w:ascii="黑体" w:eastAsia="黑体" w:hAnsi="黑体"/>
          <w:b w:val="0"/>
        </w:rPr>
        <w:tab/>
      </w:r>
    </w:p>
    <w:p w:rsidR="002B2A1B" w:rsidRDefault="00572AE8">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1442.21</w:t>
      </w:r>
      <w:r>
        <w:rPr>
          <w:rFonts w:ascii="仿宋" w:eastAsia="仿宋" w:hAnsi="仿宋" w:hint="eastAsia"/>
          <w:color w:val="000000"/>
          <w:sz w:val="32"/>
          <w:szCs w:val="32"/>
        </w:rPr>
        <w:t>万元，其中：</w:t>
      </w:r>
    </w:p>
    <w:p w:rsidR="002B2A1B" w:rsidRDefault="00572AE8">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1207.37</w:t>
      </w:r>
      <w:r>
        <w:rPr>
          <w:rFonts w:ascii="仿宋" w:eastAsia="仿宋" w:hAnsi="仿宋" w:hint="eastAsia"/>
          <w:color w:val="000000"/>
          <w:sz w:val="32"/>
          <w:szCs w:val="32"/>
        </w:rPr>
        <w:t>万元，主要包括：基本工资、津贴补</w:t>
      </w:r>
      <w:r>
        <w:rPr>
          <w:rFonts w:ascii="仿宋" w:eastAsia="仿宋" w:hAnsi="仿宋" w:hint="eastAsia"/>
          <w:color w:val="000000"/>
          <w:sz w:val="32"/>
          <w:szCs w:val="32"/>
        </w:rPr>
        <w:lastRenderedPageBreak/>
        <w:t>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245.27</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w:t>
      </w:r>
      <w:r>
        <w:rPr>
          <w:rFonts w:ascii="仿宋" w:eastAsia="仿宋" w:hAnsi="仿宋" w:hint="eastAsia"/>
          <w:color w:val="000000"/>
          <w:sz w:val="32"/>
          <w:szCs w:val="32"/>
        </w:rPr>
        <w:t>费、其他交通费、税金及附加费用、其他商品和服务支出、办公设备购置、专用设备购置、信息网络及软件购置更新、其他资本性支出等。</w:t>
      </w:r>
    </w:p>
    <w:p w:rsidR="002B2A1B" w:rsidRDefault="00572AE8">
      <w:pPr>
        <w:spacing w:line="600" w:lineRule="exact"/>
        <w:ind w:firstLine="640"/>
        <w:outlineLvl w:val="1"/>
        <w:rPr>
          <w:rStyle w:val="2Char"/>
          <w:rFonts w:ascii="黑体" w:eastAsia="黑体" w:hAnsi="黑体"/>
          <w:b w:val="0"/>
        </w:rPr>
      </w:pPr>
      <w:bookmarkStart w:id="31" w:name="_Toc15396609"/>
      <w:bookmarkStart w:id="32"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1"/>
      <w:bookmarkEnd w:id="32"/>
    </w:p>
    <w:p w:rsidR="002B2A1B" w:rsidRDefault="00572AE8">
      <w:pPr>
        <w:spacing w:line="600" w:lineRule="exact"/>
        <w:ind w:firstLine="640"/>
        <w:outlineLvl w:val="2"/>
        <w:rPr>
          <w:rFonts w:ascii="仿宋" w:eastAsia="仿宋" w:hAnsi="仿宋"/>
          <w:b/>
          <w:color w:val="000000"/>
          <w:sz w:val="32"/>
          <w:szCs w:val="32"/>
        </w:rPr>
      </w:pPr>
      <w:bookmarkStart w:id="33" w:name="_Toc15377216"/>
      <w:r>
        <w:rPr>
          <w:rFonts w:ascii="仿宋" w:eastAsia="仿宋" w:hAnsi="仿宋" w:hint="eastAsia"/>
          <w:b/>
          <w:color w:val="000000"/>
          <w:sz w:val="32"/>
          <w:szCs w:val="32"/>
        </w:rPr>
        <w:t>（一）“三公”经费财政拨款支出决算总体情况说明</w:t>
      </w:r>
      <w:bookmarkEnd w:id="33"/>
    </w:p>
    <w:p w:rsidR="002B2A1B" w:rsidRDefault="00572AE8">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8.18</w:t>
      </w:r>
      <w:r>
        <w:rPr>
          <w:rFonts w:ascii="仿宋" w:eastAsia="仿宋" w:hAnsi="仿宋" w:hint="eastAsia"/>
          <w:color w:val="000000"/>
          <w:sz w:val="32"/>
          <w:szCs w:val="32"/>
        </w:rPr>
        <w:t>万元，完成预算</w:t>
      </w:r>
      <w:r>
        <w:rPr>
          <w:rFonts w:ascii="仿宋" w:eastAsia="仿宋" w:hAnsi="仿宋" w:hint="eastAsia"/>
          <w:color w:val="000000"/>
          <w:sz w:val="32"/>
          <w:szCs w:val="32"/>
        </w:rPr>
        <w:t>96.23</w:t>
      </w:r>
      <w:r>
        <w:rPr>
          <w:rFonts w:ascii="仿宋" w:eastAsia="仿宋" w:hAnsi="仿宋"/>
          <w:color w:val="000000"/>
          <w:sz w:val="32"/>
          <w:szCs w:val="32"/>
        </w:rPr>
        <w:t>%</w:t>
      </w:r>
      <w:r>
        <w:rPr>
          <w:rFonts w:ascii="仿宋" w:eastAsia="仿宋" w:hAnsi="仿宋" w:hint="eastAsia"/>
          <w:color w:val="000000"/>
          <w:sz w:val="32"/>
          <w:szCs w:val="32"/>
        </w:rPr>
        <w:t>，决</w:t>
      </w:r>
      <w:r w:rsidR="006F3D80">
        <w:rPr>
          <w:rFonts w:ascii="仿宋" w:eastAsia="仿宋" w:hAnsi="仿宋" w:hint="eastAsia"/>
          <w:color w:val="000000"/>
          <w:sz w:val="32"/>
          <w:szCs w:val="32"/>
        </w:rPr>
        <w:t>算数小于预算数（或与预算数持平）的主要原因是严格执行中央八项</w:t>
      </w:r>
      <w:r>
        <w:rPr>
          <w:rFonts w:ascii="仿宋" w:eastAsia="仿宋" w:hAnsi="仿宋" w:hint="eastAsia"/>
          <w:color w:val="000000"/>
          <w:sz w:val="32"/>
          <w:szCs w:val="32"/>
        </w:rPr>
        <w:t>规定。</w:t>
      </w:r>
    </w:p>
    <w:p w:rsidR="002B2A1B" w:rsidRDefault="00572AE8">
      <w:pPr>
        <w:spacing w:line="600" w:lineRule="exact"/>
        <w:ind w:firstLine="640"/>
        <w:outlineLvl w:val="2"/>
        <w:rPr>
          <w:rFonts w:ascii="仿宋" w:eastAsia="仿宋" w:hAnsi="仿宋"/>
          <w:b/>
          <w:color w:val="000000"/>
          <w:sz w:val="32"/>
          <w:szCs w:val="32"/>
        </w:rPr>
      </w:pPr>
      <w:bookmarkStart w:id="34" w:name="_Toc15377217"/>
      <w:r>
        <w:rPr>
          <w:rFonts w:ascii="仿宋" w:eastAsia="仿宋" w:hAnsi="仿宋" w:hint="eastAsia"/>
          <w:b/>
          <w:color w:val="000000"/>
          <w:sz w:val="32"/>
          <w:szCs w:val="32"/>
        </w:rPr>
        <w:t>（二）“三公”经费财政拨款支出决算具体情况说明</w:t>
      </w:r>
      <w:bookmarkEnd w:id="34"/>
    </w:p>
    <w:p w:rsidR="002B2A1B" w:rsidRDefault="00572AE8">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6</w:t>
      </w:r>
      <w:r>
        <w:rPr>
          <w:rFonts w:ascii="仿宋" w:eastAsia="仿宋" w:hAnsi="仿宋" w:hint="eastAsia"/>
          <w:color w:val="000000"/>
          <w:sz w:val="32"/>
          <w:szCs w:val="32"/>
        </w:rPr>
        <w:t>万元，占</w:t>
      </w:r>
      <w:r>
        <w:rPr>
          <w:rFonts w:ascii="仿宋" w:eastAsia="仿宋" w:hAnsi="仿宋" w:hint="eastAsia"/>
          <w:color w:val="000000"/>
          <w:sz w:val="32"/>
          <w:szCs w:val="32"/>
        </w:rPr>
        <w:t>73.4</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2.18</w:t>
      </w:r>
      <w:r>
        <w:rPr>
          <w:rFonts w:ascii="仿宋" w:eastAsia="仿宋" w:hAnsi="仿宋" w:hint="eastAsia"/>
          <w:color w:val="000000"/>
          <w:sz w:val="32"/>
          <w:szCs w:val="32"/>
        </w:rPr>
        <w:t>万元，占</w:t>
      </w:r>
      <w:r>
        <w:rPr>
          <w:rFonts w:ascii="仿宋" w:eastAsia="仿宋" w:hAnsi="仿宋" w:hint="eastAsia"/>
          <w:color w:val="000000"/>
          <w:sz w:val="32"/>
          <w:szCs w:val="32"/>
        </w:rPr>
        <w:t>26.6</w:t>
      </w:r>
      <w:r>
        <w:rPr>
          <w:rFonts w:ascii="仿宋" w:eastAsia="仿宋" w:hAnsi="仿宋"/>
          <w:color w:val="000000"/>
          <w:sz w:val="32"/>
          <w:szCs w:val="32"/>
        </w:rPr>
        <w:t>%</w:t>
      </w:r>
      <w:r>
        <w:rPr>
          <w:rFonts w:ascii="仿宋" w:eastAsia="仿宋" w:hAnsi="仿宋" w:hint="eastAsia"/>
          <w:color w:val="000000"/>
          <w:sz w:val="32"/>
          <w:szCs w:val="32"/>
        </w:rPr>
        <w:t>。具体情况如下：</w:t>
      </w:r>
    </w:p>
    <w:p w:rsidR="002B2A1B" w:rsidRDefault="00572AE8">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1.</w:t>
      </w:r>
      <w:r>
        <w:rPr>
          <w:rFonts w:ascii="仿宋" w:eastAsia="仿宋" w:hAnsi="仿宋" w:cs="仿宋" w:hint="eastAsia"/>
          <w:b/>
          <w:color w:val="000000"/>
          <w:sz w:val="32"/>
          <w:szCs w:val="32"/>
        </w:rPr>
        <w:t>因公出国（境）经费支出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r>
        <w:rPr>
          <w:rStyle w:val="a7"/>
          <w:rFonts w:ascii="仿宋" w:eastAsia="仿宋" w:hAnsi="仿宋" w:cs="仿宋" w:hint="eastAsia"/>
          <w:b w:val="0"/>
          <w:bCs/>
          <w:color w:val="000000"/>
          <w:sz w:val="32"/>
          <w:szCs w:val="32"/>
        </w:rPr>
        <w:t>完成预算</w:t>
      </w:r>
      <w:r>
        <w:rPr>
          <w:rStyle w:val="a7"/>
          <w:rFonts w:ascii="仿宋" w:eastAsia="仿宋" w:hAnsi="仿宋" w:cs="仿宋" w:hint="eastAsia"/>
          <w:b w:val="0"/>
          <w:bCs/>
          <w:color w:val="000000"/>
          <w:sz w:val="32"/>
          <w:szCs w:val="32"/>
        </w:rPr>
        <w:t>100%</w:t>
      </w:r>
      <w:r>
        <w:rPr>
          <w:rStyle w:val="a7"/>
          <w:rFonts w:ascii="仿宋" w:eastAsia="仿宋" w:hAnsi="仿宋" w:cs="仿宋" w:hint="eastAsia"/>
          <w:b w:val="0"/>
          <w:bCs/>
          <w:color w:val="000000"/>
          <w:sz w:val="32"/>
          <w:szCs w:val="32"/>
        </w:rPr>
        <w:t>。</w:t>
      </w:r>
      <w:r>
        <w:rPr>
          <w:rFonts w:ascii="仿宋" w:eastAsia="仿宋" w:hAnsi="仿宋" w:cs="仿宋" w:hint="eastAsia"/>
          <w:color w:val="000000"/>
          <w:sz w:val="32"/>
          <w:szCs w:val="32"/>
        </w:rPr>
        <w:t>全年安排因公出国（境）团组</w:t>
      </w:r>
      <w:r>
        <w:rPr>
          <w:rFonts w:ascii="仿宋" w:eastAsia="仿宋" w:hAnsi="仿宋" w:cs="仿宋" w:hint="eastAsia"/>
          <w:color w:val="000000"/>
          <w:sz w:val="32"/>
          <w:szCs w:val="32"/>
        </w:rPr>
        <w:t>0</w:t>
      </w:r>
      <w:r>
        <w:rPr>
          <w:rFonts w:ascii="仿宋" w:eastAsia="仿宋" w:hAnsi="仿宋" w:cs="仿宋" w:hint="eastAsia"/>
          <w:color w:val="000000"/>
          <w:sz w:val="32"/>
          <w:szCs w:val="32"/>
        </w:rPr>
        <w:t>次，出国（境）</w:t>
      </w:r>
      <w:r>
        <w:rPr>
          <w:rFonts w:ascii="仿宋" w:eastAsia="仿宋" w:hAnsi="仿宋" w:cs="仿宋" w:hint="eastAsia"/>
          <w:color w:val="000000"/>
          <w:sz w:val="32"/>
          <w:szCs w:val="32"/>
        </w:rPr>
        <w:t>0</w:t>
      </w:r>
      <w:r>
        <w:rPr>
          <w:rFonts w:ascii="仿宋" w:eastAsia="仿宋" w:hAnsi="仿宋" w:cs="仿宋" w:hint="eastAsia"/>
          <w:color w:val="000000"/>
          <w:sz w:val="32"/>
          <w:szCs w:val="32"/>
        </w:rPr>
        <w:t>人。因公出</w:t>
      </w:r>
      <w:r>
        <w:rPr>
          <w:rFonts w:ascii="仿宋" w:eastAsia="仿宋" w:hAnsi="仿宋" w:cs="仿宋" w:hint="eastAsia"/>
          <w:color w:val="000000"/>
          <w:sz w:val="32"/>
          <w:szCs w:val="32"/>
        </w:rPr>
        <w:lastRenderedPageBreak/>
        <w:t>国（境）支出决算比</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年无增减变化。</w:t>
      </w:r>
    </w:p>
    <w:p w:rsidR="002B2A1B" w:rsidRDefault="00572AE8">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2.</w:t>
      </w:r>
      <w:r>
        <w:rPr>
          <w:rFonts w:ascii="仿宋" w:eastAsia="仿宋" w:hAnsi="仿宋" w:cs="仿宋" w:hint="eastAsia"/>
          <w:b/>
          <w:color w:val="000000"/>
          <w:sz w:val="32"/>
          <w:szCs w:val="32"/>
        </w:rPr>
        <w:t>公务用车购置及运行维护费支出</w:t>
      </w:r>
      <w:r>
        <w:rPr>
          <w:rFonts w:ascii="仿宋" w:eastAsia="仿宋" w:hAnsi="仿宋" w:cs="仿宋" w:hint="eastAsia"/>
          <w:color w:val="000000"/>
          <w:sz w:val="32"/>
          <w:szCs w:val="32"/>
        </w:rPr>
        <w:t>6</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Style w:val="a7"/>
          <w:rFonts w:ascii="仿宋" w:eastAsia="仿宋" w:hAnsi="仿宋" w:cs="仿宋" w:hint="eastAsia"/>
          <w:b w:val="0"/>
          <w:bCs/>
          <w:color w:val="000000"/>
          <w:sz w:val="32"/>
          <w:szCs w:val="32"/>
        </w:rPr>
        <w:t>完成预算</w:t>
      </w:r>
      <w:r>
        <w:rPr>
          <w:rStyle w:val="a7"/>
          <w:rFonts w:ascii="仿宋" w:eastAsia="仿宋" w:hAnsi="仿宋" w:cs="仿宋" w:hint="eastAsia"/>
          <w:b w:val="0"/>
          <w:bCs/>
          <w:color w:val="000000"/>
          <w:sz w:val="32"/>
          <w:szCs w:val="32"/>
        </w:rPr>
        <w:t>100%</w:t>
      </w:r>
      <w:r>
        <w:rPr>
          <w:rStyle w:val="a7"/>
          <w:rFonts w:ascii="仿宋" w:eastAsia="仿宋" w:hAnsi="仿宋" w:cs="仿宋" w:hint="eastAsia"/>
          <w:b w:val="0"/>
          <w:bCs/>
          <w:color w:val="000000"/>
          <w:sz w:val="32"/>
          <w:szCs w:val="32"/>
        </w:rPr>
        <w:t>。</w:t>
      </w:r>
      <w:r>
        <w:rPr>
          <w:rFonts w:ascii="仿宋" w:eastAsia="仿宋" w:hAnsi="仿宋" w:cs="仿宋" w:hint="eastAsia"/>
          <w:color w:val="000000"/>
          <w:sz w:val="32"/>
          <w:szCs w:val="32"/>
        </w:rPr>
        <w:t>公务用车购置及运行维护费支出决算比</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年无变化。</w:t>
      </w:r>
    </w:p>
    <w:p w:rsidR="002B2A1B" w:rsidRDefault="00572AE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其中：</w:t>
      </w:r>
      <w:r>
        <w:rPr>
          <w:rFonts w:ascii="仿宋" w:eastAsia="仿宋" w:hAnsi="仿宋" w:cs="仿宋" w:hint="eastAsia"/>
          <w:b/>
          <w:color w:val="000000"/>
          <w:sz w:val="32"/>
          <w:szCs w:val="32"/>
        </w:rPr>
        <w:t>公务用车购置支出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万元。全年按规定更新购置公务用车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辆，金额</w:t>
      </w:r>
      <w:r>
        <w:rPr>
          <w:rFonts w:ascii="仿宋" w:eastAsia="仿宋" w:hAnsi="仿宋" w:cs="仿宋" w:hint="eastAsia"/>
          <w:color w:val="000000"/>
          <w:sz w:val="32"/>
          <w:szCs w:val="32"/>
        </w:rPr>
        <w:t>0</w:t>
      </w:r>
      <w:r>
        <w:rPr>
          <w:rFonts w:ascii="仿宋" w:eastAsia="仿宋" w:hAnsi="仿宋" w:cs="仿宋" w:hint="eastAsia"/>
          <w:color w:val="000000"/>
          <w:sz w:val="32"/>
          <w:szCs w:val="32"/>
        </w:rPr>
        <w:t>元。截至</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12</w:t>
      </w:r>
      <w:r>
        <w:rPr>
          <w:rFonts w:ascii="仿宋" w:eastAsia="仿宋" w:hAnsi="仿宋" w:cs="仿宋" w:hint="eastAsia"/>
          <w:color w:val="000000"/>
          <w:sz w:val="32"/>
          <w:szCs w:val="32"/>
        </w:rPr>
        <w:t>月底，单位共有公务用车</w:t>
      </w:r>
      <w:r>
        <w:rPr>
          <w:rFonts w:ascii="仿宋" w:eastAsia="仿宋" w:hAnsi="仿宋" w:cs="仿宋" w:hint="eastAsia"/>
          <w:color w:val="000000"/>
          <w:sz w:val="32"/>
          <w:szCs w:val="32"/>
        </w:rPr>
        <w:t>2</w:t>
      </w:r>
      <w:r>
        <w:rPr>
          <w:rFonts w:ascii="仿宋" w:eastAsia="仿宋" w:hAnsi="仿宋" w:cs="仿宋" w:hint="eastAsia"/>
          <w:color w:val="000000"/>
          <w:sz w:val="32"/>
          <w:szCs w:val="32"/>
        </w:rPr>
        <w:t>辆，其中：主要领导干部用车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辆、机要通信用车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辆、应急保障用车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执法执勤用车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辆，一般公务用车</w:t>
      </w:r>
      <w:r>
        <w:rPr>
          <w:rFonts w:ascii="仿宋" w:eastAsia="仿宋" w:hAnsi="仿宋" w:cs="仿宋" w:hint="eastAsia"/>
          <w:color w:val="000000"/>
          <w:sz w:val="32"/>
          <w:szCs w:val="32"/>
        </w:rPr>
        <w:t>2</w:t>
      </w:r>
      <w:r>
        <w:rPr>
          <w:rFonts w:ascii="仿宋" w:eastAsia="仿宋" w:hAnsi="仿宋" w:cs="仿宋" w:hint="eastAsia"/>
          <w:color w:val="000000"/>
          <w:sz w:val="32"/>
          <w:szCs w:val="32"/>
        </w:rPr>
        <w:t>辆。</w:t>
      </w:r>
    </w:p>
    <w:p w:rsidR="002B2A1B" w:rsidRDefault="00572AE8">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公务用车运行维护费支出</w:t>
      </w:r>
      <w:r>
        <w:rPr>
          <w:rFonts w:ascii="仿宋" w:eastAsia="仿宋" w:hAnsi="仿宋" w:cs="仿宋" w:hint="eastAsia"/>
          <w:color w:val="000000"/>
          <w:sz w:val="32"/>
          <w:szCs w:val="32"/>
        </w:rPr>
        <w:t>6</w:t>
      </w:r>
      <w:r>
        <w:rPr>
          <w:rFonts w:ascii="仿宋" w:eastAsia="仿宋" w:hAnsi="仿宋" w:cs="仿宋" w:hint="eastAsia"/>
          <w:color w:val="000000"/>
          <w:sz w:val="32"/>
          <w:szCs w:val="32"/>
        </w:rPr>
        <w:t>万元。主要用于主要用于政府农业生产指导、土地双挂、征地拆迁、社会治安、维稳、低保及精准扶贫的调查等所需的公务用车燃料费、维修费、保险费等支出。</w:t>
      </w:r>
    </w:p>
    <w:p w:rsidR="002B2A1B" w:rsidRDefault="00572AE8">
      <w:pPr>
        <w:numPr>
          <w:ilvl w:val="0"/>
          <w:numId w:val="2"/>
        </w:num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公务接待费支出</w:t>
      </w:r>
      <w:r>
        <w:rPr>
          <w:rFonts w:ascii="仿宋" w:eastAsia="仿宋" w:hAnsi="仿宋" w:cs="仿宋" w:hint="eastAsia"/>
          <w:color w:val="000000"/>
          <w:sz w:val="32"/>
          <w:szCs w:val="32"/>
        </w:rPr>
        <w:t>2.18</w:t>
      </w:r>
      <w:r>
        <w:rPr>
          <w:rFonts w:ascii="仿宋" w:eastAsia="仿宋" w:hAnsi="仿宋" w:cs="仿宋" w:hint="eastAsia"/>
          <w:color w:val="000000"/>
          <w:sz w:val="32"/>
          <w:szCs w:val="32"/>
        </w:rPr>
        <w:t>万元，完成预算</w:t>
      </w:r>
      <w:r>
        <w:rPr>
          <w:rFonts w:ascii="仿宋" w:eastAsia="仿宋" w:hAnsi="仿宋" w:cs="仿宋" w:hint="eastAsia"/>
          <w:color w:val="000000"/>
          <w:sz w:val="32"/>
          <w:szCs w:val="32"/>
        </w:rPr>
        <w:t>73.4%</w:t>
      </w:r>
      <w:r>
        <w:rPr>
          <w:rFonts w:ascii="仿宋" w:eastAsia="仿宋" w:hAnsi="仿宋" w:cs="仿宋" w:hint="eastAsia"/>
          <w:color w:val="000000"/>
          <w:sz w:val="32"/>
          <w:szCs w:val="32"/>
        </w:rPr>
        <w:t>。</w:t>
      </w:r>
    </w:p>
    <w:p w:rsidR="002B2A1B" w:rsidRDefault="00572AE8">
      <w:pPr>
        <w:numPr>
          <w:ilvl w:val="0"/>
          <w:numId w:val="2"/>
        </w:num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国内公务接待支出</w:t>
      </w:r>
      <w:r>
        <w:rPr>
          <w:rFonts w:ascii="仿宋" w:eastAsia="仿宋" w:hAnsi="仿宋" w:cs="仿宋" w:hint="eastAsia"/>
          <w:color w:val="000000"/>
          <w:sz w:val="32"/>
          <w:szCs w:val="32"/>
        </w:rPr>
        <w:t>2.18</w:t>
      </w:r>
      <w:r>
        <w:rPr>
          <w:rFonts w:ascii="仿宋" w:eastAsia="仿宋" w:hAnsi="仿宋" w:cs="仿宋" w:hint="eastAsia"/>
          <w:color w:val="000000"/>
          <w:sz w:val="32"/>
          <w:szCs w:val="32"/>
        </w:rPr>
        <w:t>万元，主要用于执行公务、开展业务活动开支的交通费、住宿费、用餐费等，国</w:t>
      </w:r>
      <w:r>
        <w:rPr>
          <w:rFonts w:ascii="仿宋" w:eastAsia="仿宋" w:hAnsi="仿宋" w:cs="仿宋" w:hint="eastAsia"/>
          <w:color w:val="000000"/>
          <w:sz w:val="32"/>
          <w:szCs w:val="32"/>
        </w:rPr>
        <w:t>内公务接待</w:t>
      </w:r>
      <w:r>
        <w:rPr>
          <w:rFonts w:ascii="仿宋" w:eastAsia="仿宋" w:hAnsi="仿宋" w:cs="仿宋" w:hint="eastAsia"/>
          <w:color w:val="000000"/>
          <w:sz w:val="32"/>
          <w:szCs w:val="32"/>
        </w:rPr>
        <w:t>43</w:t>
      </w:r>
      <w:r>
        <w:rPr>
          <w:rFonts w:ascii="仿宋" w:eastAsia="仿宋" w:hAnsi="仿宋" w:cs="仿宋" w:hint="eastAsia"/>
          <w:color w:val="000000"/>
          <w:sz w:val="32"/>
          <w:szCs w:val="32"/>
        </w:rPr>
        <w:t>批次，</w:t>
      </w:r>
      <w:r>
        <w:rPr>
          <w:rFonts w:ascii="仿宋" w:eastAsia="仿宋" w:hAnsi="仿宋" w:cs="仿宋" w:hint="eastAsia"/>
          <w:color w:val="000000"/>
          <w:sz w:val="32"/>
          <w:szCs w:val="32"/>
        </w:rPr>
        <w:t>406</w:t>
      </w:r>
      <w:r>
        <w:rPr>
          <w:rFonts w:ascii="仿宋" w:eastAsia="仿宋" w:hAnsi="仿宋" w:cs="仿宋" w:hint="eastAsia"/>
          <w:color w:val="000000"/>
          <w:sz w:val="32"/>
          <w:szCs w:val="32"/>
        </w:rPr>
        <w:t>人次（不包括陪同人员），共计支出</w:t>
      </w:r>
      <w:r>
        <w:rPr>
          <w:rFonts w:ascii="仿宋" w:eastAsia="仿宋" w:hAnsi="仿宋" w:cs="仿宋" w:hint="eastAsia"/>
          <w:color w:val="000000"/>
          <w:sz w:val="32"/>
          <w:szCs w:val="32"/>
        </w:rPr>
        <w:t>2.18</w:t>
      </w:r>
      <w:r>
        <w:rPr>
          <w:rFonts w:ascii="仿宋" w:eastAsia="仿宋" w:hAnsi="仿宋" w:cs="仿宋" w:hint="eastAsia"/>
          <w:color w:val="000000"/>
          <w:sz w:val="32"/>
          <w:szCs w:val="32"/>
        </w:rPr>
        <w:t>万元。</w:t>
      </w:r>
    </w:p>
    <w:p w:rsidR="002B2A1B" w:rsidRDefault="00572AE8">
      <w:pPr>
        <w:spacing w:line="600" w:lineRule="exact"/>
        <w:ind w:firstLineChars="200" w:firstLine="643"/>
        <w:rPr>
          <w:rFonts w:ascii="仿宋" w:eastAsia="仿宋" w:hAnsi="仿宋" w:cs="仿宋"/>
          <w:color w:val="000000"/>
          <w:sz w:val="32"/>
          <w:szCs w:val="32"/>
        </w:rPr>
      </w:pPr>
      <w:r>
        <w:rPr>
          <w:rFonts w:ascii="仿宋" w:eastAsia="仿宋" w:hAnsi="仿宋" w:hint="eastAsia"/>
          <w:b/>
          <w:color w:val="000000"/>
          <w:sz w:val="32"/>
          <w:szCs w:val="32"/>
        </w:rPr>
        <w:t>外事接待支出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r>
        <w:rPr>
          <w:rFonts w:ascii="仿宋" w:eastAsia="仿宋" w:hAnsi="仿宋" w:cs="仿宋" w:hint="eastAsia"/>
          <w:color w:val="000000" w:themeColor="text1"/>
          <w:sz w:val="32"/>
          <w:szCs w:val="32"/>
        </w:rPr>
        <w:t>，外事接待</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批次</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人，共计支出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万元，主要用于接待。</w:t>
      </w:r>
      <w:bookmarkStart w:id="35" w:name="_Toc15377218"/>
      <w:bookmarkStart w:id="36" w:name="_Toc15396610"/>
    </w:p>
    <w:p w:rsidR="002B2A1B" w:rsidRDefault="00572AE8">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Start w:id="37" w:name="_GoBack"/>
      <w:bookmarkEnd w:id="35"/>
      <w:bookmarkEnd w:id="36"/>
      <w:bookmarkEnd w:id="37"/>
    </w:p>
    <w:p w:rsidR="002B2A1B" w:rsidRDefault="00572AE8">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2019</w:t>
      </w:r>
      <w:r>
        <w:rPr>
          <w:rFonts w:ascii="仿宋" w:eastAsia="仿宋" w:hAnsi="仿宋" w:cs="仿宋" w:hint="eastAsia"/>
          <w:color w:val="000000"/>
          <w:sz w:val="32"/>
          <w:szCs w:val="32"/>
        </w:rPr>
        <w:t>年政府性基金预算拨款支出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2B2A1B" w:rsidRDefault="00572AE8">
      <w:pPr>
        <w:numPr>
          <w:ilvl w:val="0"/>
          <w:numId w:val="3"/>
        </w:numPr>
        <w:spacing w:line="600" w:lineRule="exact"/>
        <w:ind w:firstLine="640"/>
        <w:outlineLvl w:val="1"/>
        <w:rPr>
          <w:rStyle w:val="2Char"/>
          <w:rFonts w:ascii="黑体" w:eastAsia="黑体" w:hAnsi="黑体"/>
          <w:b w:val="0"/>
        </w:rPr>
      </w:pPr>
      <w:bookmarkStart w:id="38" w:name="_Toc15396611"/>
      <w:bookmarkStart w:id="39" w:name="_Toc15377219"/>
      <w:r>
        <w:rPr>
          <w:rStyle w:val="2Char"/>
          <w:rFonts w:ascii="黑体" w:eastAsia="黑体" w:hAnsi="黑体" w:hint="eastAsia"/>
          <w:b w:val="0"/>
        </w:rPr>
        <w:t>国有资本经营预算支出决算情况说明</w:t>
      </w:r>
      <w:bookmarkEnd w:id="38"/>
      <w:bookmarkEnd w:id="39"/>
    </w:p>
    <w:p w:rsidR="002B2A1B" w:rsidRDefault="00572AE8">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2019</w:t>
      </w:r>
      <w:r>
        <w:rPr>
          <w:rFonts w:ascii="仿宋" w:eastAsia="仿宋" w:hAnsi="仿宋" w:cs="仿宋" w:hint="eastAsia"/>
          <w:color w:val="000000"/>
          <w:sz w:val="32"/>
          <w:szCs w:val="32"/>
        </w:rPr>
        <w:t>年国有资本经营预算拨款支出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w:t>
      </w:r>
    </w:p>
    <w:p w:rsidR="002B2A1B" w:rsidRDefault="00572AE8">
      <w:pPr>
        <w:spacing w:line="600" w:lineRule="exact"/>
        <w:ind w:firstLineChars="250" w:firstLine="800"/>
        <w:outlineLvl w:val="1"/>
        <w:rPr>
          <w:rStyle w:val="2Char"/>
          <w:rFonts w:ascii="黑体" w:eastAsia="黑体" w:hAnsi="黑体"/>
        </w:rPr>
      </w:pPr>
      <w:bookmarkStart w:id="40" w:name="_Toc15396612"/>
      <w:bookmarkStart w:id="4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0"/>
      <w:bookmarkEnd w:id="41"/>
    </w:p>
    <w:p w:rsidR="002B2A1B" w:rsidRDefault="00572AE8">
      <w:pPr>
        <w:spacing w:line="600" w:lineRule="exact"/>
        <w:ind w:firstLineChars="200" w:firstLine="643"/>
        <w:outlineLvl w:val="2"/>
        <w:rPr>
          <w:rFonts w:ascii="仿宋" w:eastAsia="仿宋" w:hAnsi="仿宋"/>
          <w:color w:val="000000"/>
          <w:sz w:val="32"/>
          <w:szCs w:val="32"/>
        </w:rPr>
      </w:pPr>
      <w:bookmarkStart w:id="42" w:name="_Toc15377222"/>
      <w:r>
        <w:rPr>
          <w:rFonts w:ascii="仿宋" w:eastAsia="仿宋" w:hAnsi="仿宋" w:hint="eastAsia"/>
          <w:b/>
          <w:color w:val="000000"/>
          <w:sz w:val="32"/>
          <w:szCs w:val="32"/>
        </w:rPr>
        <w:t>（一）机关运行经费支出情况</w:t>
      </w:r>
      <w:bookmarkEnd w:id="42"/>
    </w:p>
    <w:p w:rsidR="002B2A1B" w:rsidRDefault="00572AE8">
      <w:pPr>
        <w:spacing w:line="600" w:lineRule="exact"/>
        <w:ind w:firstLineChars="200" w:firstLine="640"/>
        <w:rPr>
          <w:rFonts w:ascii="仿宋" w:eastAsia="仿宋" w:hAnsi="仿宋" w:cs="仿宋"/>
          <w:b/>
          <w:color w:val="FF0000"/>
          <w:sz w:val="32"/>
          <w:szCs w:val="32"/>
        </w:rPr>
      </w:pPr>
      <w:r>
        <w:rPr>
          <w:rFonts w:ascii="仿宋" w:eastAsia="仿宋" w:hAnsi="仿宋" w:cs="仿宋" w:hint="eastAsia"/>
          <w:color w:val="000000"/>
          <w:sz w:val="32"/>
          <w:szCs w:val="32"/>
        </w:rPr>
        <w:t>2019</w:t>
      </w:r>
      <w:r>
        <w:rPr>
          <w:rFonts w:ascii="仿宋" w:eastAsia="仿宋" w:hAnsi="仿宋" w:cs="仿宋" w:hint="eastAsia"/>
          <w:color w:val="000000"/>
          <w:sz w:val="32"/>
          <w:szCs w:val="32"/>
        </w:rPr>
        <w:t>年，金轮镇机关运行经费支出</w:t>
      </w:r>
      <w:r>
        <w:rPr>
          <w:rFonts w:ascii="仿宋" w:eastAsia="仿宋" w:hAnsi="仿宋" w:cs="仿宋" w:hint="eastAsia"/>
          <w:color w:val="000000"/>
          <w:sz w:val="32"/>
          <w:szCs w:val="32"/>
        </w:rPr>
        <w:t>245.2</w:t>
      </w:r>
      <w:r>
        <w:rPr>
          <w:rFonts w:ascii="仿宋" w:eastAsia="仿宋" w:hAnsi="仿宋" w:cs="仿宋" w:hint="eastAsia"/>
          <w:color w:val="000000"/>
          <w:sz w:val="32"/>
          <w:szCs w:val="32"/>
        </w:rPr>
        <w:t>万元，比</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年减少</w:t>
      </w:r>
      <w:r>
        <w:rPr>
          <w:rFonts w:ascii="仿宋" w:eastAsia="仿宋" w:hAnsi="仿宋" w:cs="仿宋" w:hint="eastAsia"/>
          <w:color w:val="000000"/>
          <w:sz w:val="32"/>
          <w:szCs w:val="32"/>
        </w:rPr>
        <w:t>47.18</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23.83%</w:t>
      </w:r>
      <w:r>
        <w:rPr>
          <w:rFonts w:ascii="仿宋" w:eastAsia="仿宋" w:hAnsi="仿宋" w:cs="仿宋" w:hint="eastAsia"/>
          <w:color w:val="000000"/>
          <w:sz w:val="32"/>
          <w:szCs w:val="32"/>
        </w:rPr>
        <w:t>，</w:t>
      </w:r>
      <w:r>
        <w:rPr>
          <w:rFonts w:ascii="仿宋" w:eastAsia="仿宋" w:hAnsi="仿宋" w:cs="仿宋" w:hint="eastAsia"/>
          <w:color w:val="000000" w:themeColor="text1"/>
          <w:sz w:val="32"/>
          <w:szCs w:val="32"/>
        </w:rPr>
        <w:t>主要原因是压缩一般性支出。</w:t>
      </w:r>
    </w:p>
    <w:p w:rsidR="002B2A1B" w:rsidRDefault="00572AE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3" w:name="_Toc15377223"/>
      <w:r>
        <w:rPr>
          <w:rFonts w:ascii="仿宋" w:eastAsia="仿宋" w:hAnsi="仿宋" w:hint="eastAsia"/>
          <w:b/>
          <w:color w:val="000000"/>
          <w:sz w:val="32"/>
          <w:szCs w:val="32"/>
        </w:rPr>
        <w:t>（二）政府采购支出情况</w:t>
      </w:r>
      <w:bookmarkEnd w:id="43"/>
    </w:p>
    <w:p w:rsidR="002B2A1B" w:rsidRDefault="00572AE8">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2019</w:t>
      </w:r>
      <w:r>
        <w:rPr>
          <w:rFonts w:ascii="仿宋" w:eastAsia="仿宋" w:hAnsi="仿宋" w:cs="仿宋" w:hint="eastAsia"/>
          <w:color w:val="000000"/>
          <w:sz w:val="32"/>
          <w:szCs w:val="32"/>
        </w:rPr>
        <w:t>年，金轮镇政府采购支出总额</w:t>
      </w:r>
      <w:r>
        <w:rPr>
          <w:rFonts w:ascii="仿宋" w:eastAsia="仿宋" w:hAnsi="仿宋" w:cs="仿宋" w:hint="eastAsia"/>
          <w:color w:val="000000"/>
          <w:sz w:val="32"/>
          <w:szCs w:val="32"/>
        </w:rPr>
        <w:t>37</w:t>
      </w:r>
      <w:r>
        <w:rPr>
          <w:rFonts w:ascii="仿宋" w:eastAsia="仿宋" w:hAnsi="仿宋" w:cs="仿宋" w:hint="eastAsia"/>
          <w:color w:val="000000"/>
          <w:sz w:val="32"/>
          <w:szCs w:val="32"/>
        </w:rPr>
        <w:t>万元，其中：政府采购货物支出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万元、政府采购工程支出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万元、政府采购服务支出</w:t>
      </w:r>
      <w:r>
        <w:rPr>
          <w:rFonts w:ascii="仿宋" w:eastAsia="仿宋" w:hAnsi="仿宋" w:cs="仿宋" w:hint="eastAsia"/>
          <w:color w:val="000000"/>
          <w:sz w:val="32"/>
          <w:szCs w:val="32"/>
        </w:rPr>
        <w:t>37</w:t>
      </w:r>
      <w:r>
        <w:rPr>
          <w:rFonts w:ascii="仿宋" w:eastAsia="仿宋" w:hAnsi="仿宋" w:cs="仿宋" w:hint="eastAsia"/>
          <w:color w:val="000000"/>
          <w:sz w:val="32"/>
          <w:szCs w:val="32"/>
        </w:rPr>
        <w:t>万元。主要用于绿化维护、道路清扫保洁，授予中小企业合同金额</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万元，占政府采购支出总额的</w:t>
      </w:r>
      <w:r>
        <w:rPr>
          <w:rFonts w:ascii="仿宋" w:eastAsia="仿宋" w:hAnsi="仿宋" w:cs="仿宋" w:hint="eastAsia"/>
          <w:color w:val="000000"/>
          <w:sz w:val="32"/>
          <w:szCs w:val="32"/>
        </w:rPr>
        <w:t>0%</w:t>
      </w:r>
      <w:r>
        <w:rPr>
          <w:rFonts w:ascii="仿宋" w:eastAsia="仿宋" w:hAnsi="仿宋" w:cs="仿宋" w:hint="eastAsia"/>
          <w:color w:val="000000"/>
          <w:sz w:val="32"/>
          <w:szCs w:val="32"/>
        </w:rPr>
        <w:t>，其中：授予小微企业合同金额</w:t>
      </w:r>
      <w:r>
        <w:rPr>
          <w:rFonts w:ascii="仿宋" w:eastAsia="仿宋" w:hAnsi="仿宋" w:cs="仿宋" w:hint="eastAsia"/>
          <w:color w:val="000000"/>
          <w:sz w:val="32"/>
          <w:szCs w:val="32"/>
        </w:rPr>
        <w:t>37</w:t>
      </w:r>
      <w:r>
        <w:rPr>
          <w:rFonts w:ascii="仿宋" w:eastAsia="仿宋" w:hAnsi="仿宋" w:cs="仿宋" w:hint="eastAsia"/>
          <w:color w:val="000000"/>
          <w:sz w:val="32"/>
          <w:szCs w:val="32"/>
        </w:rPr>
        <w:t>万元，占政府采购支出总额的</w:t>
      </w:r>
      <w:r>
        <w:rPr>
          <w:rFonts w:ascii="仿宋" w:eastAsia="仿宋" w:hAnsi="仿宋" w:cs="仿宋" w:hint="eastAsia"/>
          <w:color w:val="000000"/>
          <w:sz w:val="32"/>
          <w:szCs w:val="32"/>
        </w:rPr>
        <w:t>0%</w:t>
      </w:r>
      <w:r>
        <w:rPr>
          <w:rFonts w:ascii="仿宋" w:eastAsia="仿宋" w:hAnsi="仿宋" w:cs="仿宋" w:hint="eastAsia"/>
          <w:color w:val="000000"/>
          <w:sz w:val="32"/>
          <w:szCs w:val="32"/>
        </w:rPr>
        <w:t>。</w:t>
      </w:r>
    </w:p>
    <w:p w:rsidR="002B2A1B" w:rsidRDefault="00572AE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4" w:name="_Toc15377224"/>
      <w:r>
        <w:rPr>
          <w:rFonts w:ascii="仿宋" w:eastAsia="仿宋" w:hAnsi="仿宋" w:hint="eastAsia"/>
          <w:b/>
          <w:color w:val="000000"/>
          <w:sz w:val="32"/>
          <w:szCs w:val="32"/>
        </w:rPr>
        <w:t>（三）国有资产占有使用情况</w:t>
      </w:r>
      <w:bookmarkEnd w:id="44"/>
    </w:p>
    <w:p w:rsidR="002B2A1B" w:rsidRDefault="00572AE8">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截至</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日，共有车辆</w:t>
      </w:r>
      <w:r>
        <w:rPr>
          <w:rFonts w:ascii="仿宋" w:eastAsia="仿宋" w:hAnsi="仿宋" w:cs="仿宋" w:hint="eastAsia"/>
          <w:color w:val="000000"/>
          <w:sz w:val="32"/>
          <w:szCs w:val="32"/>
        </w:rPr>
        <w:t>3</w:t>
      </w:r>
      <w:r>
        <w:rPr>
          <w:rFonts w:ascii="仿宋" w:eastAsia="仿宋" w:hAnsi="仿宋" w:cs="仿宋" w:hint="eastAsia"/>
          <w:color w:val="000000"/>
          <w:sz w:val="32"/>
          <w:szCs w:val="32"/>
        </w:rPr>
        <w:t>辆，其中：主要领导干部用车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辆、机要通信用车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辆、应急保障用车</w:t>
      </w:r>
      <w:r>
        <w:rPr>
          <w:rFonts w:ascii="仿宋" w:eastAsia="仿宋" w:hAnsi="仿宋" w:cs="仿宋" w:hint="eastAsia"/>
          <w:color w:val="000000"/>
          <w:sz w:val="32"/>
          <w:szCs w:val="32"/>
        </w:rPr>
        <w:t>0</w:t>
      </w:r>
      <w:r>
        <w:rPr>
          <w:rFonts w:ascii="仿宋" w:eastAsia="仿宋" w:hAnsi="仿宋" w:cs="仿宋" w:hint="eastAsia"/>
          <w:color w:val="000000"/>
          <w:sz w:val="32"/>
          <w:szCs w:val="32"/>
        </w:rPr>
        <w:t>辆、其他用车</w:t>
      </w:r>
      <w:r>
        <w:rPr>
          <w:rFonts w:ascii="仿宋" w:eastAsia="仿宋" w:hAnsi="仿宋" w:cs="仿宋" w:hint="eastAsia"/>
          <w:color w:val="000000"/>
          <w:sz w:val="32"/>
          <w:szCs w:val="32"/>
        </w:rPr>
        <w:t>3</w:t>
      </w:r>
      <w:r>
        <w:rPr>
          <w:rFonts w:ascii="仿宋" w:eastAsia="仿宋" w:hAnsi="仿宋" w:cs="仿宋" w:hint="eastAsia"/>
          <w:color w:val="000000"/>
          <w:sz w:val="32"/>
          <w:szCs w:val="32"/>
        </w:rPr>
        <w:t>辆其他用车主要是主要用于政府农业生产指导、土地双挂、征地拆迁、社会治安、维稳、低保及精准扶贫的</w:t>
      </w:r>
      <w:r>
        <w:rPr>
          <w:rFonts w:ascii="仿宋" w:eastAsia="仿宋" w:hAnsi="仿宋" w:cs="仿宋" w:hint="eastAsia"/>
          <w:color w:val="000000"/>
          <w:sz w:val="32"/>
          <w:szCs w:val="32"/>
        </w:rPr>
        <w:t>调查等所需的公务用车燃料费、维修费、保险费等支出。</w:t>
      </w:r>
    </w:p>
    <w:p w:rsidR="002B2A1B" w:rsidRDefault="00572AE8">
      <w:pPr>
        <w:autoSpaceDE w:val="0"/>
        <w:autoSpaceDN w:val="0"/>
        <w:adjustRightInd w:val="0"/>
        <w:spacing w:line="600" w:lineRule="exact"/>
        <w:ind w:firstLineChars="200" w:firstLine="640"/>
        <w:jc w:val="left"/>
        <w:rPr>
          <w:rFonts w:ascii="仿宋" w:eastAsia="仿宋" w:hAnsi="仿宋" w:cs="仿宋"/>
          <w:b/>
          <w:color w:val="FF0000"/>
          <w:sz w:val="32"/>
          <w:szCs w:val="32"/>
        </w:rPr>
      </w:pPr>
      <w:r>
        <w:rPr>
          <w:rFonts w:ascii="仿宋" w:eastAsia="仿宋" w:hAnsi="仿宋" w:cs="仿宋" w:hint="eastAsia"/>
          <w:color w:val="000000" w:themeColor="text1"/>
          <w:sz w:val="32"/>
          <w:szCs w:val="32"/>
        </w:rPr>
        <w:t>用于单价</w:t>
      </w:r>
      <w:r>
        <w:rPr>
          <w:rFonts w:ascii="仿宋" w:eastAsia="仿宋" w:hAnsi="仿宋" w:cs="仿宋" w:hint="eastAsia"/>
          <w:color w:val="000000" w:themeColor="text1"/>
          <w:sz w:val="32"/>
          <w:szCs w:val="32"/>
        </w:rPr>
        <w:t>50</w:t>
      </w:r>
      <w:r>
        <w:rPr>
          <w:rFonts w:ascii="仿宋" w:eastAsia="仿宋" w:hAnsi="仿宋" w:cs="仿宋" w:hint="eastAsia"/>
          <w:color w:val="000000" w:themeColor="text1"/>
          <w:sz w:val="32"/>
          <w:szCs w:val="32"/>
        </w:rPr>
        <w:t>万元以上通用设备</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台（套），单价</w:t>
      </w:r>
      <w:r>
        <w:rPr>
          <w:rFonts w:ascii="仿宋" w:eastAsia="仿宋" w:hAnsi="仿宋" w:cs="仿宋" w:hint="eastAsia"/>
          <w:color w:val="000000" w:themeColor="text1"/>
          <w:sz w:val="32"/>
          <w:szCs w:val="32"/>
        </w:rPr>
        <w:t>100</w:t>
      </w:r>
      <w:r>
        <w:rPr>
          <w:rFonts w:ascii="仿宋" w:eastAsia="仿宋" w:hAnsi="仿宋" w:cs="仿宋" w:hint="eastAsia"/>
          <w:color w:val="000000"/>
          <w:sz w:val="32"/>
          <w:szCs w:val="32"/>
        </w:rPr>
        <w:t>万元以上专用设备</w:t>
      </w:r>
      <w:r>
        <w:rPr>
          <w:rFonts w:ascii="仿宋" w:eastAsia="仿宋" w:hAnsi="仿宋" w:cs="仿宋" w:hint="eastAsia"/>
          <w:color w:val="000000"/>
          <w:sz w:val="32"/>
          <w:szCs w:val="32"/>
        </w:rPr>
        <w:t>0</w:t>
      </w:r>
      <w:r>
        <w:rPr>
          <w:rFonts w:ascii="仿宋" w:eastAsia="仿宋" w:hAnsi="仿宋" w:cs="仿宋" w:hint="eastAsia"/>
          <w:color w:val="000000"/>
          <w:sz w:val="32"/>
          <w:szCs w:val="32"/>
        </w:rPr>
        <w:t>台（套）。</w:t>
      </w:r>
    </w:p>
    <w:p w:rsidR="002B2A1B" w:rsidRDefault="002B2A1B">
      <w:pPr>
        <w:spacing w:line="600" w:lineRule="exact"/>
        <w:outlineLvl w:val="0"/>
        <w:rPr>
          <w:rStyle w:val="1Char"/>
          <w:rFonts w:ascii="黑体" w:eastAsia="黑体" w:hAnsi="黑体"/>
          <w:b w:val="0"/>
        </w:rPr>
      </w:pPr>
      <w:bookmarkStart w:id="45" w:name="_Toc15377225"/>
      <w:bookmarkStart w:id="46" w:name="_Toc15396613"/>
    </w:p>
    <w:p w:rsidR="002B2A1B" w:rsidRDefault="002B2A1B">
      <w:pPr>
        <w:spacing w:line="600" w:lineRule="exact"/>
        <w:outlineLvl w:val="0"/>
        <w:rPr>
          <w:rStyle w:val="1Char"/>
          <w:rFonts w:ascii="黑体" w:eastAsia="黑体" w:hAnsi="黑体"/>
          <w:b w:val="0"/>
        </w:rPr>
      </w:pPr>
    </w:p>
    <w:p w:rsidR="002B2A1B" w:rsidRDefault="002B2A1B">
      <w:pPr>
        <w:spacing w:line="600" w:lineRule="exact"/>
        <w:outlineLvl w:val="0"/>
        <w:rPr>
          <w:rStyle w:val="1Char"/>
          <w:rFonts w:ascii="黑体" w:eastAsia="黑体" w:hAnsi="黑体"/>
          <w:b w:val="0"/>
        </w:rPr>
      </w:pPr>
    </w:p>
    <w:p w:rsidR="002B2A1B" w:rsidRDefault="00572AE8">
      <w:pPr>
        <w:numPr>
          <w:ilvl w:val="0"/>
          <w:numId w:val="4"/>
        </w:numPr>
        <w:spacing w:line="600" w:lineRule="exact"/>
        <w:ind w:firstLineChars="150" w:firstLine="660"/>
        <w:jc w:val="center"/>
        <w:outlineLvl w:val="0"/>
        <w:rPr>
          <w:rStyle w:val="1Char"/>
          <w:rFonts w:ascii="黑体" w:eastAsia="黑体" w:hAnsi="黑体"/>
          <w:b w:val="0"/>
        </w:rPr>
      </w:pPr>
      <w:r>
        <w:rPr>
          <w:rFonts w:ascii="黑体" w:eastAsia="黑体" w:hAnsi="黑体" w:hint="eastAsia"/>
          <w:color w:val="000000"/>
          <w:sz w:val="44"/>
          <w:szCs w:val="44"/>
        </w:rPr>
        <w:t>名</w:t>
      </w:r>
      <w:r>
        <w:rPr>
          <w:rStyle w:val="1Char"/>
          <w:rFonts w:ascii="黑体" w:eastAsia="黑体" w:hAnsi="黑体" w:hint="eastAsia"/>
          <w:b w:val="0"/>
        </w:rPr>
        <w:t>词解释</w:t>
      </w:r>
      <w:bookmarkEnd w:id="45"/>
      <w:bookmarkEnd w:id="46"/>
    </w:p>
    <w:p w:rsidR="002B2A1B" w:rsidRDefault="002B2A1B">
      <w:pPr>
        <w:spacing w:line="600" w:lineRule="exact"/>
        <w:jc w:val="left"/>
        <w:rPr>
          <w:rFonts w:ascii="宋体"/>
          <w:b/>
          <w:color w:val="000000"/>
          <w:sz w:val="44"/>
          <w:szCs w:val="44"/>
        </w:rPr>
      </w:pP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10.</w:t>
      </w:r>
      <w:r>
        <w:rPr>
          <w:rFonts w:ascii="仿宋_GB2312" w:eastAsia="仿宋_GB2312" w:hint="eastAsia"/>
          <w:color w:val="000000"/>
          <w:sz w:val="32"/>
          <w:szCs w:val="32"/>
        </w:rPr>
        <w:t>外交（类）…（款）…（项）：指……。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w:t>
      </w:r>
      <w:r>
        <w:rPr>
          <w:rFonts w:ascii="仿宋_GB2312" w:eastAsia="仿宋_GB2312" w:hint="eastAsia"/>
          <w:color w:val="000000"/>
          <w:sz w:val="32"/>
          <w:szCs w:val="32"/>
        </w:rPr>
        <w:t>（款）…（项）：指……。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B2A1B" w:rsidRDefault="00572AE8">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w:t>
      </w:r>
      <w:r>
        <w:rPr>
          <w:rFonts w:ascii="仿宋_GB2312" w:eastAsia="仿宋_GB2312" w:hint="eastAsia"/>
          <w:color w:val="000000"/>
          <w:sz w:val="32"/>
          <w:szCs w:val="32"/>
        </w:rPr>
        <w:lastRenderedPageBreak/>
        <w:t>之外开展非独立核算经营活动发生的支出。</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w:t>
      </w:r>
      <w:r>
        <w:rPr>
          <w:rFonts w:ascii="仿宋_GB2312" w:eastAsia="仿宋_GB2312" w:hint="eastAsia"/>
          <w:sz w:val="32"/>
          <w:szCs w:val="32"/>
        </w:rPr>
        <w:t>定开支的各类公务接待（含外宾接待）支出。</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2A1B" w:rsidRDefault="00572AE8">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2B2A1B" w:rsidRDefault="002B2A1B">
      <w:pPr>
        <w:pStyle w:val="Default"/>
        <w:spacing w:line="560" w:lineRule="exact"/>
        <w:ind w:firstLineChars="200" w:firstLine="640"/>
        <w:rPr>
          <w:rFonts w:ascii="仿宋_GB2312" w:eastAsia="仿宋_GB2312" w:cs="黑体"/>
          <w:sz w:val="32"/>
          <w:szCs w:val="32"/>
        </w:rPr>
      </w:pPr>
    </w:p>
    <w:p w:rsidR="002B2A1B" w:rsidRDefault="002B2A1B">
      <w:pPr>
        <w:spacing w:line="580" w:lineRule="exact"/>
        <w:ind w:firstLine="640"/>
        <w:rPr>
          <w:rFonts w:ascii="仿宋_GB2312" w:eastAsia="仿宋_GB2312" w:hAnsi="仿宋_GB2312" w:cs="仿宋_GB2312"/>
          <w:sz w:val="32"/>
          <w:szCs w:val="32"/>
        </w:rPr>
      </w:pPr>
      <w:bookmarkStart w:id="47" w:name="_Toc15377226"/>
    </w:p>
    <w:p w:rsidR="002B2A1B" w:rsidRDefault="002B2A1B">
      <w:pPr>
        <w:spacing w:line="580" w:lineRule="exact"/>
        <w:ind w:firstLine="640"/>
        <w:rPr>
          <w:rFonts w:ascii="仿宋_GB2312" w:eastAsia="仿宋_GB2312" w:hAnsi="仿宋_GB2312" w:cs="仿宋_GB2312"/>
          <w:sz w:val="32"/>
          <w:szCs w:val="32"/>
        </w:rPr>
      </w:pPr>
    </w:p>
    <w:p w:rsidR="002B2A1B" w:rsidRDefault="002B2A1B">
      <w:pPr>
        <w:widowControl/>
        <w:jc w:val="left"/>
        <w:rPr>
          <w:rStyle w:val="1Char"/>
          <w:rFonts w:ascii="黑体" w:eastAsia="黑体" w:hAnsi="黑体"/>
          <w:b w:val="0"/>
        </w:rPr>
      </w:pPr>
    </w:p>
    <w:p w:rsidR="002B2A1B" w:rsidRDefault="00572AE8">
      <w:pPr>
        <w:widowControl/>
        <w:jc w:val="left"/>
        <w:rPr>
          <w:rStyle w:val="1Char"/>
          <w:rFonts w:ascii="黑体" w:eastAsia="黑体" w:hAnsi="黑体"/>
          <w:b w:val="0"/>
        </w:rPr>
      </w:pPr>
      <w:r>
        <w:rPr>
          <w:rStyle w:val="1Char"/>
          <w:rFonts w:ascii="黑体" w:eastAsia="黑体" w:hAnsi="黑体"/>
          <w:b w:val="0"/>
        </w:rPr>
        <w:br w:type="page"/>
      </w:r>
    </w:p>
    <w:p w:rsidR="002B2A1B" w:rsidRDefault="002B2A1B">
      <w:pPr>
        <w:spacing w:line="600" w:lineRule="exact"/>
        <w:jc w:val="center"/>
        <w:outlineLvl w:val="0"/>
        <w:rPr>
          <w:rStyle w:val="1Char"/>
          <w:rFonts w:ascii="黑体" w:eastAsia="黑体" w:hAnsi="黑体"/>
          <w:b w:val="0"/>
        </w:rPr>
      </w:pPr>
    </w:p>
    <w:p w:rsidR="002B2A1B" w:rsidRDefault="00572AE8">
      <w:pPr>
        <w:spacing w:line="600" w:lineRule="exact"/>
        <w:jc w:val="center"/>
        <w:outlineLvl w:val="0"/>
        <w:rPr>
          <w:rStyle w:val="1Char"/>
          <w:rFonts w:ascii="黑体" w:eastAsia="黑体" w:hAnsi="黑体"/>
          <w:b w:val="0"/>
        </w:rPr>
      </w:pPr>
      <w:bookmarkStart w:id="48" w:name="_Toc15396618"/>
      <w:r>
        <w:rPr>
          <w:rFonts w:ascii="黑体" w:eastAsia="黑体" w:hAnsi="黑体" w:hint="eastAsia"/>
          <w:color w:val="000000"/>
          <w:sz w:val="44"/>
          <w:szCs w:val="44"/>
        </w:rPr>
        <w:t>第</w:t>
      </w:r>
      <w:r>
        <w:rPr>
          <w:rFonts w:ascii="黑体" w:eastAsia="黑体" w:hAnsi="黑体" w:hint="eastAsia"/>
          <w:color w:val="000000"/>
          <w:sz w:val="44"/>
          <w:szCs w:val="44"/>
        </w:rPr>
        <w:t>四</w:t>
      </w:r>
      <w:r>
        <w:rPr>
          <w:rStyle w:val="1Char"/>
          <w:rFonts w:ascii="黑体" w:eastAsia="黑体" w:hAnsi="黑体" w:hint="eastAsia"/>
          <w:b w:val="0"/>
        </w:rPr>
        <w:t>部分</w:t>
      </w:r>
      <w:r>
        <w:rPr>
          <w:rStyle w:val="1Char"/>
          <w:rFonts w:ascii="黑体" w:eastAsia="黑体" w:hAnsi="黑体" w:hint="eastAsia"/>
          <w:b w:val="0"/>
        </w:rPr>
        <w:t xml:space="preserve"> </w:t>
      </w:r>
      <w:r>
        <w:rPr>
          <w:rStyle w:val="1Char"/>
          <w:rFonts w:ascii="黑体" w:eastAsia="黑体" w:hAnsi="黑体" w:hint="eastAsia"/>
          <w:b w:val="0"/>
        </w:rPr>
        <w:t>附表</w:t>
      </w:r>
      <w:bookmarkEnd w:id="47"/>
      <w:bookmarkEnd w:id="48"/>
    </w:p>
    <w:p w:rsidR="002B2A1B" w:rsidRDefault="002B2A1B">
      <w:pPr>
        <w:spacing w:line="600" w:lineRule="exact"/>
        <w:jc w:val="center"/>
        <w:outlineLvl w:val="0"/>
        <w:rPr>
          <w:rFonts w:ascii="仿宋" w:eastAsia="仿宋" w:hAnsi="仿宋"/>
          <w:b/>
          <w:color w:val="000000"/>
          <w:sz w:val="44"/>
          <w:szCs w:val="44"/>
        </w:rPr>
      </w:pPr>
    </w:p>
    <w:p w:rsidR="002B2A1B" w:rsidRDefault="00572AE8">
      <w:pPr>
        <w:pStyle w:val="2"/>
        <w:rPr>
          <w:rFonts w:ascii="仿宋" w:eastAsia="仿宋" w:hAnsi="仿宋"/>
          <w:color w:val="000000"/>
        </w:rPr>
      </w:pPr>
      <w:bookmarkStart w:id="49" w:name="_Toc15396619"/>
      <w:r>
        <w:rPr>
          <w:rFonts w:ascii="仿宋" w:eastAsia="仿宋" w:hAnsi="仿宋" w:hint="eastAsia"/>
          <w:b w:val="0"/>
          <w:color w:val="000000"/>
        </w:rPr>
        <w:t>一、收</w:t>
      </w:r>
      <w:r>
        <w:rPr>
          <w:rStyle w:val="2Char"/>
          <w:rFonts w:ascii="仿宋" w:eastAsia="仿宋" w:hAnsi="仿宋" w:hint="eastAsia"/>
        </w:rPr>
        <w:t>入支出决算总表</w:t>
      </w:r>
      <w:bookmarkEnd w:id="49"/>
    </w:p>
    <w:p w:rsidR="002B2A1B" w:rsidRDefault="00572AE8">
      <w:pPr>
        <w:pStyle w:val="2"/>
        <w:rPr>
          <w:rFonts w:ascii="仿宋" w:eastAsia="仿宋" w:hAnsi="仿宋"/>
          <w:color w:val="000000"/>
        </w:rPr>
      </w:pPr>
      <w:bookmarkStart w:id="50" w:name="_Toc15396620"/>
      <w:r>
        <w:rPr>
          <w:rFonts w:ascii="仿宋" w:eastAsia="仿宋" w:hAnsi="仿宋" w:hint="eastAsia"/>
          <w:b w:val="0"/>
          <w:color w:val="000000"/>
        </w:rPr>
        <w:t>二、收</w:t>
      </w:r>
      <w:r>
        <w:rPr>
          <w:rStyle w:val="2Char"/>
          <w:rFonts w:ascii="仿宋" w:eastAsia="仿宋" w:hAnsi="仿宋" w:hint="eastAsia"/>
        </w:rPr>
        <w:t>入决算表</w:t>
      </w:r>
      <w:bookmarkEnd w:id="50"/>
    </w:p>
    <w:p w:rsidR="002B2A1B" w:rsidRDefault="00572AE8">
      <w:pPr>
        <w:pStyle w:val="2"/>
        <w:rPr>
          <w:rFonts w:ascii="仿宋" w:eastAsia="仿宋" w:hAnsi="仿宋"/>
          <w:color w:val="000000"/>
        </w:rPr>
      </w:pPr>
      <w:bookmarkStart w:id="5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1"/>
    </w:p>
    <w:p w:rsidR="002B2A1B" w:rsidRDefault="00572AE8">
      <w:pPr>
        <w:pStyle w:val="2"/>
        <w:rPr>
          <w:rFonts w:ascii="仿宋" w:eastAsia="仿宋" w:hAnsi="仿宋"/>
          <w:b w:val="0"/>
          <w:color w:val="000000"/>
        </w:rPr>
      </w:pPr>
      <w:bookmarkStart w:id="5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2"/>
    </w:p>
    <w:p w:rsidR="002B2A1B" w:rsidRDefault="00572AE8">
      <w:pPr>
        <w:pStyle w:val="2"/>
        <w:rPr>
          <w:rStyle w:val="2Char"/>
          <w:rFonts w:ascii="仿宋" w:eastAsia="仿宋" w:hAnsi="仿宋"/>
        </w:rPr>
      </w:pPr>
      <w:bookmarkStart w:id="5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4" w:name="_Toc15396624"/>
      <w:bookmarkEnd w:id="53"/>
    </w:p>
    <w:p w:rsidR="002B2A1B" w:rsidRDefault="00572AE8">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4"/>
    </w:p>
    <w:p w:rsidR="002B2A1B" w:rsidRDefault="00572AE8">
      <w:pPr>
        <w:pStyle w:val="2"/>
        <w:rPr>
          <w:rFonts w:ascii="仿宋" w:eastAsia="仿宋" w:hAnsi="仿宋"/>
          <w:color w:val="000000"/>
        </w:rPr>
      </w:pPr>
      <w:bookmarkStart w:id="5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5"/>
    </w:p>
    <w:p w:rsidR="002B2A1B" w:rsidRDefault="00572AE8">
      <w:pPr>
        <w:pStyle w:val="2"/>
        <w:rPr>
          <w:rFonts w:ascii="仿宋" w:eastAsia="仿宋" w:hAnsi="仿宋"/>
          <w:color w:val="000000"/>
        </w:rPr>
      </w:pPr>
      <w:bookmarkStart w:id="5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6"/>
    </w:p>
    <w:p w:rsidR="002B2A1B" w:rsidRDefault="00572AE8">
      <w:pPr>
        <w:pStyle w:val="2"/>
        <w:rPr>
          <w:rFonts w:ascii="仿宋" w:eastAsia="仿宋" w:hAnsi="仿宋"/>
          <w:color w:val="000000"/>
        </w:rPr>
      </w:pPr>
      <w:bookmarkStart w:id="5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7"/>
    </w:p>
    <w:p w:rsidR="002B2A1B" w:rsidRDefault="00572AE8">
      <w:pPr>
        <w:pStyle w:val="2"/>
        <w:rPr>
          <w:rFonts w:ascii="仿宋" w:eastAsia="仿宋" w:hAnsi="仿宋"/>
          <w:color w:val="000000"/>
        </w:rPr>
      </w:pPr>
      <w:bookmarkStart w:id="5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58"/>
    </w:p>
    <w:p w:rsidR="002B2A1B" w:rsidRDefault="00572AE8">
      <w:pPr>
        <w:pStyle w:val="2"/>
        <w:rPr>
          <w:rFonts w:ascii="仿宋" w:eastAsia="仿宋" w:hAnsi="仿宋"/>
          <w:color w:val="000000"/>
        </w:rPr>
      </w:pPr>
      <w:bookmarkStart w:id="5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59"/>
    </w:p>
    <w:p w:rsidR="002B2A1B" w:rsidRDefault="00572AE8">
      <w:pPr>
        <w:pStyle w:val="2"/>
        <w:rPr>
          <w:rFonts w:ascii="仿宋" w:eastAsia="仿宋" w:hAnsi="仿宋"/>
          <w:color w:val="000000"/>
        </w:rPr>
      </w:pPr>
      <w:bookmarkStart w:id="6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0"/>
    </w:p>
    <w:p w:rsidR="002B2A1B" w:rsidRDefault="00572AE8">
      <w:pPr>
        <w:pStyle w:val="2"/>
        <w:rPr>
          <w:rFonts w:ascii="仿宋" w:eastAsia="仿宋" w:hAnsi="仿宋"/>
          <w:color w:val="000000" w:themeColor="text1"/>
        </w:rPr>
      </w:pPr>
      <w:bookmarkStart w:id="6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1"/>
    </w:p>
    <w:sectPr w:rsidR="002B2A1B" w:rsidSect="002B2A1B">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AE8" w:rsidRDefault="00572AE8" w:rsidP="002B2A1B">
      <w:r>
        <w:separator/>
      </w:r>
    </w:p>
  </w:endnote>
  <w:endnote w:type="continuationSeparator" w:id="0">
    <w:p w:rsidR="00572AE8" w:rsidRDefault="00572AE8" w:rsidP="002B2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B2A1B" w:rsidRDefault="002B2A1B">
        <w:pPr>
          <w:pStyle w:val="a5"/>
          <w:jc w:val="center"/>
        </w:pPr>
        <w:r w:rsidRPr="002B2A1B">
          <w:fldChar w:fldCharType="begin"/>
        </w:r>
        <w:r w:rsidR="00572AE8">
          <w:instrText>PAGE   \* MERGEFORMAT</w:instrText>
        </w:r>
        <w:r w:rsidRPr="002B2A1B">
          <w:fldChar w:fldCharType="separate"/>
        </w:r>
        <w:r w:rsidR="006F3D80" w:rsidRPr="006F3D80">
          <w:rPr>
            <w:noProof/>
            <w:lang w:val="zh-CN"/>
          </w:rPr>
          <w:t>9</w:t>
        </w:r>
        <w:r>
          <w:rPr>
            <w:lang w:val="zh-CN"/>
          </w:rPr>
          <w:fldChar w:fldCharType="end"/>
        </w:r>
      </w:p>
    </w:sdtContent>
  </w:sdt>
  <w:p w:rsidR="002B2A1B" w:rsidRDefault="002B2A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AE8" w:rsidRDefault="00572AE8" w:rsidP="002B2A1B">
      <w:r>
        <w:separator/>
      </w:r>
    </w:p>
  </w:footnote>
  <w:footnote w:type="continuationSeparator" w:id="0">
    <w:p w:rsidR="00572AE8" w:rsidRDefault="00572AE8" w:rsidP="002B2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1B" w:rsidRDefault="002B2A1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DB578"/>
    <w:multiLevelType w:val="singleLevel"/>
    <w:tmpl w:val="C0FDB578"/>
    <w:lvl w:ilvl="0">
      <w:start w:val="3"/>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423D"/>
    <w:rsid w:val="000222C6"/>
    <w:rsid w:val="0002549F"/>
    <w:rsid w:val="000468DB"/>
    <w:rsid w:val="0006487A"/>
    <w:rsid w:val="00065F8F"/>
    <w:rsid w:val="00070A43"/>
    <w:rsid w:val="00071644"/>
    <w:rsid w:val="000768F2"/>
    <w:rsid w:val="00082320"/>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2883"/>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2376"/>
    <w:rsid w:val="00265372"/>
    <w:rsid w:val="002662AA"/>
    <w:rsid w:val="00280496"/>
    <w:rsid w:val="00294DC9"/>
    <w:rsid w:val="00295495"/>
    <w:rsid w:val="002A31DE"/>
    <w:rsid w:val="002B2613"/>
    <w:rsid w:val="002B2A1B"/>
    <w:rsid w:val="002D19B0"/>
    <w:rsid w:val="002D6D05"/>
    <w:rsid w:val="002F1818"/>
    <w:rsid w:val="002F5615"/>
    <w:rsid w:val="002F567B"/>
    <w:rsid w:val="003216A9"/>
    <w:rsid w:val="00335A74"/>
    <w:rsid w:val="0036561B"/>
    <w:rsid w:val="0037013F"/>
    <w:rsid w:val="003728ED"/>
    <w:rsid w:val="00380C92"/>
    <w:rsid w:val="003A484F"/>
    <w:rsid w:val="003A4883"/>
    <w:rsid w:val="003B0BE0"/>
    <w:rsid w:val="003B0C1B"/>
    <w:rsid w:val="003B688C"/>
    <w:rsid w:val="003C0291"/>
    <w:rsid w:val="003C39AE"/>
    <w:rsid w:val="003C7B60"/>
    <w:rsid w:val="003D0C0F"/>
    <w:rsid w:val="003D1FB2"/>
    <w:rsid w:val="003D66DA"/>
    <w:rsid w:val="003E060D"/>
    <w:rsid w:val="003E1310"/>
    <w:rsid w:val="003E5B1E"/>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778"/>
    <w:rsid w:val="004E0A2D"/>
    <w:rsid w:val="004E10F9"/>
    <w:rsid w:val="004E206B"/>
    <w:rsid w:val="004E6DF7"/>
    <w:rsid w:val="004F0FBD"/>
    <w:rsid w:val="004F403E"/>
    <w:rsid w:val="00505A47"/>
    <w:rsid w:val="00512FDA"/>
    <w:rsid w:val="00520DA0"/>
    <w:rsid w:val="005664BB"/>
    <w:rsid w:val="00566FFA"/>
    <w:rsid w:val="00572AE8"/>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1A6B"/>
    <w:rsid w:val="006F020C"/>
    <w:rsid w:val="006F0E89"/>
    <w:rsid w:val="006F3D80"/>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95DAE"/>
    <w:rsid w:val="007D1682"/>
    <w:rsid w:val="007D2D56"/>
    <w:rsid w:val="007D312A"/>
    <w:rsid w:val="007D3F19"/>
    <w:rsid w:val="007E23B0"/>
    <w:rsid w:val="007F1991"/>
    <w:rsid w:val="007F2C2F"/>
    <w:rsid w:val="007F55FC"/>
    <w:rsid w:val="007F5665"/>
    <w:rsid w:val="00800112"/>
    <w:rsid w:val="00813348"/>
    <w:rsid w:val="00817FBE"/>
    <w:rsid w:val="008253BB"/>
    <w:rsid w:val="008327B4"/>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1401"/>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4322"/>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56"/>
    <w:rsid w:val="00AE16BA"/>
    <w:rsid w:val="00AE1EBE"/>
    <w:rsid w:val="00AE4604"/>
    <w:rsid w:val="00B03C9D"/>
    <w:rsid w:val="00B060AE"/>
    <w:rsid w:val="00B10517"/>
    <w:rsid w:val="00B1485C"/>
    <w:rsid w:val="00B14E76"/>
    <w:rsid w:val="00B161B8"/>
    <w:rsid w:val="00B2048C"/>
    <w:rsid w:val="00B310B9"/>
    <w:rsid w:val="00B35F3F"/>
    <w:rsid w:val="00B36CBB"/>
    <w:rsid w:val="00B425E0"/>
    <w:rsid w:val="00B440AA"/>
    <w:rsid w:val="00B44B70"/>
    <w:rsid w:val="00B53C56"/>
    <w:rsid w:val="00B57DAF"/>
    <w:rsid w:val="00B77EA6"/>
    <w:rsid w:val="00B802E6"/>
    <w:rsid w:val="00B81598"/>
    <w:rsid w:val="00B841F1"/>
    <w:rsid w:val="00B944D6"/>
    <w:rsid w:val="00BB4DF0"/>
    <w:rsid w:val="00BB5E06"/>
    <w:rsid w:val="00BC0A3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0AD"/>
    <w:rsid w:val="00C61BFC"/>
    <w:rsid w:val="00C62B85"/>
    <w:rsid w:val="00C65438"/>
    <w:rsid w:val="00C82B7C"/>
    <w:rsid w:val="00C91CBB"/>
    <w:rsid w:val="00CA6F89"/>
    <w:rsid w:val="00CB4E70"/>
    <w:rsid w:val="00CC09B6"/>
    <w:rsid w:val="00CC607A"/>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3167"/>
    <w:rsid w:val="00D7035F"/>
    <w:rsid w:val="00DA634F"/>
    <w:rsid w:val="00DA65AC"/>
    <w:rsid w:val="00DB1913"/>
    <w:rsid w:val="00DC410D"/>
    <w:rsid w:val="00DC5A81"/>
    <w:rsid w:val="00DC68CA"/>
    <w:rsid w:val="00DC7CBA"/>
    <w:rsid w:val="00DD73B7"/>
    <w:rsid w:val="00DF28BC"/>
    <w:rsid w:val="00DF34B9"/>
    <w:rsid w:val="00E01053"/>
    <w:rsid w:val="00E07ACF"/>
    <w:rsid w:val="00E21FEE"/>
    <w:rsid w:val="00E312C1"/>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76C1"/>
    <w:rsid w:val="00F81FD9"/>
    <w:rsid w:val="00F841AA"/>
    <w:rsid w:val="00F84A94"/>
    <w:rsid w:val="00F87E96"/>
    <w:rsid w:val="00F9721A"/>
    <w:rsid w:val="00FA23E8"/>
    <w:rsid w:val="00FD116F"/>
    <w:rsid w:val="00FD13C9"/>
    <w:rsid w:val="00FD3CC1"/>
    <w:rsid w:val="00FF1E02"/>
    <w:rsid w:val="00FF30B4"/>
    <w:rsid w:val="10C055FF"/>
    <w:rsid w:val="16BB723D"/>
    <w:rsid w:val="1CA84A1A"/>
    <w:rsid w:val="240371BF"/>
    <w:rsid w:val="29FD04D3"/>
    <w:rsid w:val="319F7F4E"/>
    <w:rsid w:val="376C3501"/>
    <w:rsid w:val="4ECE2238"/>
    <w:rsid w:val="5AA4466C"/>
    <w:rsid w:val="5D255B0F"/>
    <w:rsid w:val="72734D90"/>
    <w:rsid w:val="7B2D3F0C"/>
    <w:rsid w:val="7D3E3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1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2B2A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2A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B2A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2B2A1B"/>
    <w:pPr>
      <w:spacing w:beforeLines="30"/>
    </w:pPr>
    <w:rPr>
      <w:rFonts w:ascii="仿宋_GB2312" w:eastAsia="仿宋_GB2312"/>
      <w:kern w:val="0"/>
      <w:sz w:val="30"/>
    </w:rPr>
  </w:style>
  <w:style w:type="paragraph" w:styleId="30">
    <w:name w:val="toc 3"/>
    <w:basedOn w:val="a"/>
    <w:next w:val="a"/>
    <w:uiPriority w:val="39"/>
    <w:unhideWhenUsed/>
    <w:qFormat/>
    <w:rsid w:val="002B2A1B"/>
    <w:pPr>
      <w:tabs>
        <w:tab w:val="right" w:leader="dot" w:pos="8296"/>
      </w:tabs>
      <w:ind w:leftChars="400" w:left="840"/>
    </w:pPr>
  </w:style>
  <w:style w:type="paragraph" w:styleId="a4">
    <w:name w:val="Balloon Text"/>
    <w:basedOn w:val="a"/>
    <w:link w:val="Char0"/>
    <w:uiPriority w:val="99"/>
    <w:semiHidden/>
    <w:unhideWhenUsed/>
    <w:qFormat/>
    <w:rsid w:val="002B2A1B"/>
    <w:rPr>
      <w:sz w:val="18"/>
      <w:szCs w:val="18"/>
    </w:rPr>
  </w:style>
  <w:style w:type="paragraph" w:styleId="a5">
    <w:name w:val="footer"/>
    <w:basedOn w:val="a"/>
    <w:link w:val="Char1"/>
    <w:uiPriority w:val="99"/>
    <w:qFormat/>
    <w:rsid w:val="002B2A1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2B2A1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B2A1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B2A1B"/>
    <w:pPr>
      <w:tabs>
        <w:tab w:val="right" w:leader="dot" w:pos="8296"/>
      </w:tabs>
      <w:ind w:leftChars="200" w:left="420"/>
    </w:pPr>
  </w:style>
  <w:style w:type="character" w:styleId="a7">
    <w:name w:val="Strong"/>
    <w:basedOn w:val="a0"/>
    <w:uiPriority w:val="99"/>
    <w:qFormat/>
    <w:rsid w:val="002B2A1B"/>
    <w:rPr>
      <w:b/>
    </w:rPr>
  </w:style>
  <w:style w:type="character" w:styleId="a8">
    <w:name w:val="Hyperlink"/>
    <w:basedOn w:val="a0"/>
    <w:uiPriority w:val="99"/>
    <w:unhideWhenUsed/>
    <w:qFormat/>
    <w:rsid w:val="002B2A1B"/>
    <w:rPr>
      <w:color w:val="0000FF" w:themeColor="hyperlink"/>
      <w:u w:val="single"/>
    </w:rPr>
  </w:style>
  <w:style w:type="character" w:customStyle="1" w:styleId="HeaderChar">
    <w:name w:val="Header Char"/>
    <w:basedOn w:val="a0"/>
    <w:uiPriority w:val="99"/>
    <w:semiHidden/>
    <w:qFormat/>
    <w:rsid w:val="002B2A1B"/>
    <w:rPr>
      <w:rFonts w:ascii="Times New Roman" w:hAnsi="Times New Roman"/>
      <w:sz w:val="18"/>
      <w:szCs w:val="18"/>
    </w:rPr>
  </w:style>
  <w:style w:type="character" w:customStyle="1" w:styleId="Char2">
    <w:name w:val="页眉 Char"/>
    <w:link w:val="a6"/>
    <w:uiPriority w:val="99"/>
    <w:semiHidden/>
    <w:qFormat/>
    <w:locked/>
    <w:rsid w:val="002B2A1B"/>
    <w:rPr>
      <w:sz w:val="18"/>
    </w:rPr>
  </w:style>
  <w:style w:type="character" w:customStyle="1" w:styleId="FooterChar">
    <w:name w:val="Footer Char"/>
    <w:basedOn w:val="a0"/>
    <w:uiPriority w:val="99"/>
    <w:semiHidden/>
    <w:qFormat/>
    <w:rsid w:val="002B2A1B"/>
    <w:rPr>
      <w:rFonts w:ascii="Times New Roman" w:hAnsi="Times New Roman"/>
      <w:sz w:val="18"/>
      <w:szCs w:val="18"/>
    </w:rPr>
  </w:style>
  <w:style w:type="character" w:customStyle="1" w:styleId="Char1">
    <w:name w:val="页脚 Char"/>
    <w:link w:val="a5"/>
    <w:uiPriority w:val="99"/>
    <w:qFormat/>
    <w:locked/>
    <w:rsid w:val="002B2A1B"/>
    <w:rPr>
      <w:sz w:val="18"/>
    </w:rPr>
  </w:style>
  <w:style w:type="character" w:customStyle="1" w:styleId="BodyTextChar">
    <w:name w:val="Body Text Char"/>
    <w:basedOn w:val="a0"/>
    <w:uiPriority w:val="99"/>
    <w:semiHidden/>
    <w:qFormat/>
    <w:rsid w:val="002B2A1B"/>
    <w:rPr>
      <w:rFonts w:ascii="Times New Roman" w:hAnsi="Times New Roman"/>
      <w:szCs w:val="24"/>
    </w:rPr>
  </w:style>
  <w:style w:type="character" w:customStyle="1" w:styleId="Char">
    <w:name w:val="正文文本 Char"/>
    <w:link w:val="a3"/>
    <w:uiPriority w:val="99"/>
    <w:qFormat/>
    <w:locked/>
    <w:rsid w:val="002B2A1B"/>
    <w:rPr>
      <w:rFonts w:ascii="仿宋_GB2312" w:eastAsia="仿宋_GB2312" w:hAnsi="Times New Roman"/>
      <w:sz w:val="24"/>
    </w:rPr>
  </w:style>
  <w:style w:type="paragraph" w:customStyle="1" w:styleId="Default">
    <w:name w:val="Default"/>
    <w:uiPriority w:val="99"/>
    <w:qFormat/>
    <w:rsid w:val="002B2A1B"/>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2B2A1B"/>
    <w:pPr>
      <w:ind w:firstLineChars="200" w:firstLine="420"/>
    </w:pPr>
  </w:style>
  <w:style w:type="character" w:customStyle="1" w:styleId="1Char">
    <w:name w:val="标题 1 Char"/>
    <w:basedOn w:val="a0"/>
    <w:link w:val="1"/>
    <w:uiPriority w:val="9"/>
    <w:qFormat/>
    <w:rsid w:val="002B2A1B"/>
    <w:rPr>
      <w:rFonts w:ascii="Times New Roman" w:hAnsi="Times New Roman"/>
      <w:b/>
      <w:bCs/>
      <w:kern w:val="44"/>
      <w:sz w:val="44"/>
      <w:szCs w:val="44"/>
    </w:rPr>
  </w:style>
  <w:style w:type="character" w:customStyle="1" w:styleId="2Char">
    <w:name w:val="标题 2 Char"/>
    <w:basedOn w:val="a0"/>
    <w:link w:val="2"/>
    <w:uiPriority w:val="9"/>
    <w:qFormat/>
    <w:rsid w:val="002B2A1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B2A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2B2A1B"/>
    <w:rPr>
      <w:rFonts w:ascii="Times New Roman" w:hAnsi="Times New Roman"/>
      <w:kern w:val="2"/>
      <w:sz w:val="18"/>
      <w:szCs w:val="18"/>
    </w:rPr>
  </w:style>
  <w:style w:type="character" w:customStyle="1" w:styleId="3Char">
    <w:name w:val="标题 3 Char"/>
    <w:basedOn w:val="a0"/>
    <w:link w:val="3"/>
    <w:uiPriority w:val="9"/>
    <w:qFormat/>
    <w:rsid w:val="002B2A1B"/>
    <w:rPr>
      <w:rFonts w:ascii="Times New Roman" w:hAnsi="Times New Roman"/>
      <w:b/>
      <w:bCs/>
      <w:kern w:val="2"/>
      <w:sz w:val="32"/>
      <w:szCs w:val="32"/>
    </w:rPr>
  </w:style>
  <w:style w:type="paragraph" w:customStyle="1" w:styleId="TOC2">
    <w:name w:val="TOC 标题2"/>
    <w:basedOn w:val="1"/>
    <w:next w:val="a"/>
    <w:uiPriority w:val="39"/>
    <w:unhideWhenUsed/>
    <w:qFormat/>
    <w:rsid w:val="002B2A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Office_Excel___1.xls"/><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2E78A-2E3C-46C4-ACB5-2793E0A8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15</Pages>
  <Words>904</Words>
  <Characters>5156</Characters>
  <Application>Microsoft Office Word</Application>
  <DocSecurity>0</DocSecurity>
  <Lines>42</Lines>
  <Paragraphs>12</Paragraphs>
  <ScaleCrop>false</ScaleCrop>
  <Company>四川省财政厅</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67</cp:revision>
  <cp:lastPrinted>2020-07-23T02:58:00Z</cp:lastPrinted>
  <dcterms:created xsi:type="dcterms:W3CDTF">2020-08-04T01:49:00Z</dcterms:created>
  <dcterms:modified xsi:type="dcterms:W3CDTF">2024-07-26T03:47:00Z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